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EFDD" w14:textId="4E773FE6" w:rsidR="00FF04D8" w:rsidRDefault="7E996210">
      <w:pPr>
        <w:pStyle w:val="OZNPROJEKTUwskazaniedatylubwersjiprojektu"/>
      </w:pPr>
      <w:bookmarkStart w:id="0" w:name="_Hlk197595139"/>
      <w:r>
        <w:t xml:space="preserve">Projekt z dnia </w:t>
      </w:r>
      <w:r w:rsidR="32C88D70">
        <w:t>2</w:t>
      </w:r>
      <w:r w:rsidR="00F417C3">
        <w:t>8</w:t>
      </w:r>
      <w:r>
        <w:t>.11.2025 r.</w:t>
      </w:r>
    </w:p>
    <w:p w14:paraId="6644EFDE" w14:textId="77777777" w:rsidR="00FF04D8" w:rsidRDefault="00FF04D8">
      <w:pPr>
        <w:pStyle w:val="OZNRODZAKTUtznustawalubrozporzdzenieiorganwydajcy"/>
      </w:pPr>
    </w:p>
    <w:p w14:paraId="6644EFDF" w14:textId="77777777" w:rsidR="00FF04D8" w:rsidRDefault="006E09BA">
      <w:pPr>
        <w:pStyle w:val="OZNRODZAKTUtznustawalubrozporzdzenieiorganwydajcy"/>
      </w:pPr>
      <w:r>
        <w:t>Ustawa</w:t>
      </w:r>
    </w:p>
    <w:p w14:paraId="6644EFE0" w14:textId="77777777" w:rsidR="00FF04D8" w:rsidRDefault="006E09BA">
      <w:pPr>
        <w:pStyle w:val="DATAAKTUdatauchwalenialubwydaniaaktu"/>
      </w:pPr>
      <w:r>
        <w:t>z dnia</w:t>
      </w:r>
      <w:proofErr w:type="gramStart"/>
      <w:r>
        <w:t xml:space="preserve"> ….</w:t>
      </w:r>
      <w:proofErr w:type="gramEnd"/>
      <w:r>
        <w:t>. 2025 r.</w:t>
      </w:r>
    </w:p>
    <w:p w14:paraId="6644EFE1" w14:textId="77777777" w:rsidR="00FF04D8" w:rsidRDefault="006E09BA">
      <w:pPr>
        <w:pStyle w:val="TYTUAKTUprzedmiotregulacjiustawylubrozporzdzenia"/>
      </w:pPr>
      <w:r>
        <w:t>o zmianie niektórych ustaw w celu dokonania deregulacji</w:t>
      </w:r>
      <w:r>
        <w:br/>
        <w:t>w zakresie energetyki</w:t>
      </w:r>
      <w:r>
        <w:rPr>
          <w:rStyle w:val="IGPindeksgrnyipogrubienie"/>
        </w:rPr>
        <w:footnoteReference w:id="1"/>
      </w:r>
      <w:r>
        <w:rPr>
          <w:rStyle w:val="IGPindeksgrnyipogrubienie"/>
        </w:rPr>
        <w:t>)</w:t>
      </w:r>
    </w:p>
    <w:p w14:paraId="6644EFE2" w14:textId="6D1A43F9" w:rsidR="00FF04D8" w:rsidRDefault="006E09BA">
      <w:pPr>
        <w:pStyle w:val="ZARTzmartartykuempunktem"/>
      </w:pPr>
      <w:r>
        <w:rPr>
          <w:rStyle w:val="Ppogrubienie"/>
        </w:rPr>
        <w:t>Art. 1.</w:t>
      </w:r>
      <w:r>
        <w:t xml:space="preserve"> W ustawie z dnia 10 kwietnia 1997 r. – Prawo energetyczne (Dz. U. z 2024 r. poz. 266, </w:t>
      </w:r>
      <w:r w:rsidR="006674BC">
        <w:t>z późn. zm.</w:t>
      </w:r>
      <w:r w:rsidR="006674BC">
        <w:rPr>
          <w:rStyle w:val="Odwoanieprzypisudolnego"/>
        </w:rPr>
        <w:footnoteReference w:id="2"/>
      </w:r>
      <w:r w:rsidR="006674BC" w:rsidRPr="006674BC">
        <w:rPr>
          <w:vertAlign w:val="superscript"/>
        </w:rPr>
        <w:t>)</w:t>
      </w:r>
      <w:r>
        <w:t>) wprowadza się następujące zmiany:</w:t>
      </w:r>
    </w:p>
    <w:p w14:paraId="6644EFE3" w14:textId="77777777" w:rsidR="00FF04D8" w:rsidRDefault="006E09BA">
      <w:pPr>
        <w:pStyle w:val="PKTpunkt"/>
      </w:pPr>
      <w:r>
        <w:t>1)</w:t>
      </w:r>
      <w:r>
        <w:tab/>
        <w:t>w art. 3:</w:t>
      </w:r>
    </w:p>
    <w:p w14:paraId="6644EFE4" w14:textId="1F0BB2D8" w:rsidR="00FF04D8" w:rsidRDefault="7E996210">
      <w:pPr>
        <w:pStyle w:val="LITlitera"/>
      </w:pPr>
      <w:r>
        <w:t>a)</w:t>
      </w:r>
      <w:r w:rsidR="006E09BA">
        <w:tab/>
      </w:r>
      <w:r>
        <w:t>pkt 10ka</w:t>
      </w:r>
      <w:r w:rsidR="25C7D96F">
        <w:t xml:space="preserve"> otrzymuje brzmienie:</w:t>
      </w:r>
    </w:p>
    <w:p w14:paraId="35CD4715" w14:textId="0611AB1E" w:rsidR="074B2E3F" w:rsidRDefault="074B2E3F" w:rsidP="6F893596">
      <w:pPr>
        <w:pStyle w:val="ZLITPKTzmpktliter"/>
      </w:pPr>
      <w:r>
        <w:t>„10ka) magazyn energii – instalację</w:t>
      </w:r>
      <w:r w:rsidR="5088B2CA">
        <w:t xml:space="preserve"> umożliwiającą magazynowanie energii, w tym magazyn energii</w:t>
      </w:r>
      <w:r w:rsidR="34A096C1">
        <w:t xml:space="preserve"> elektrycznej</w:t>
      </w:r>
      <w:r w:rsidR="5088B2CA">
        <w:t>, magazyn ciepła lub magazyn c</w:t>
      </w:r>
      <w:r w:rsidR="2BD97EE8">
        <w:t>h</w:t>
      </w:r>
      <w:r w:rsidR="5088B2CA">
        <w:t>łodu</w:t>
      </w:r>
      <w:r>
        <w:t>;”;</w:t>
      </w:r>
    </w:p>
    <w:p w14:paraId="6644EFE5" w14:textId="77777777" w:rsidR="00FF04D8" w:rsidRDefault="006E09BA">
      <w:pPr>
        <w:pStyle w:val="LITlitera"/>
      </w:pPr>
      <w:r>
        <w:t>b)</w:t>
      </w:r>
      <w:r>
        <w:tab/>
        <w:t>po pkt 10ka dodaje się pkt 10kb w brzmieniu:</w:t>
      </w:r>
    </w:p>
    <w:p w14:paraId="6644EFE6" w14:textId="77777777" w:rsidR="00FF04D8" w:rsidRDefault="006E09BA">
      <w:pPr>
        <w:pStyle w:val="ZLITPKTzmpktliter"/>
      </w:pPr>
      <w:r>
        <w:t>„10kb) magazyn ciepła lub magazyn chłodu – instalację służącą do magazynowania ciepła lub chłodu w postaci energii cieplnej, w celu późniejszego wykorzystania;”;</w:t>
      </w:r>
    </w:p>
    <w:p w14:paraId="6644EFE7" w14:textId="77777777" w:rsidR="00FF04D8" w:rsidRDefault="006E09BA">
      <w:pPr>
        <w:pStyle w:val="PKTpunkt"/>
      </w:pPr>
      <w:r>
        <w:t>2)</w:t>
      </w:r>
      <w:r>
        <w:tab/>
        <w:t>art. 3a otrzymuje brzmienie:</w:t>
      </w:r>
    </w:p>
    <w:p w14:paraId="6644EFE8" w14:textId="77777777" w:rsidR="00FF04D8" w:rsidRDefault="006E09BA">
      <w:pPr>
        <w:pStyle w:val="ZARTzmartartykuempunktem"/>
      </w:pPr>
      <w:r>
        <w:t>„Art. 3a. 1. Korespondencja między przedsiębiorstwami energetycznymi, odbiorcami, organami administracji publicznej oraz innymi podmiotami, w tym wnioski, oświadczenia, informacje i powiadomienia, jest prowadzona za pomocą środków komunikacji elektronicznej w rozumieniu art. 2 pkt 5 ustawy z dnia 18 lipca 2002 r. o świadczeniu usług drogą elektroniczną (Dz. U. z 2024 r. poz. 1513) lub w dedykowanym do obsługi odbiorców portalu internetowym, chyba że odbiorca zażąda, aby korespondencja była prowadzona w postaci papierowej.</w:t>
      </w:r>
    </w:p>
    <w:p w14:paraId="6644EFE9" w14:textId="77777777" w:rsidR="00FF04D8" w:rsidRDefault="006E09BA">
      <w:pPr>
        <w:pStyle w:val="ZUSTzmustartykuempunktem"/>
      </w:pPr>
      <w:r>
        <w:t>2. Przedsiębiorstwo energetyczne, o którym mowa w ust. 1, w momencie zawierania umowy poucza odbiorcę o możliwości zażądania prowadzenia korespondencji w postaci papierowej.</w:t>
      </w:r>
    </w:p>
    <w:p w14:paraId="6644EFEA" w14:textId="77777777" w:rsidR="00FF04D8" w:rsidRDefault="006E09BA">
      <w:pPr>
        <w:pStyle w:val="ZUSTzmustartykuempunktem"/>
      </w:pPr>
      <w:r>
        <w:lastRenderedPageBreak/>
        <w:t>3. Przedsiębiorstwo energetyczne, o którym mowa w ust. 1, umożliwia odbiorcy złożenie żądania, o którym mowa w ust. 2, również w formie pisemnego oświadczenia woli.”;</w:t>
      </w:r>
    </w:p>
    <w:p w14:paraId="6644EFEB" w14:textId="77777777" w:rsidR="00FF04D8" w:rsidRDefault="006E09BA">
      <w:pPr>
        <w:pStyle w:val="PKTpunkt"/>
      </w:pPr>
      <w:r>
        <w:t>3)</w:t>
      </w:r>
      <w:r>
        <w:tab/>
        <w:t>w art. 5 dodaje się ust. 6i w brzmieniu:</w:t>
      </w:r>
    </w:p>
    <w:p w14:paraId="6644EFEC" w14:textId="6F7140C1" w:rsidR="00FF04D8" w:rsidRDefault="7E996210">
      <w:pPr>
        <w:pStyle w:val="ZUSTzmustartykuempunktem"/>
      </w:pPr>
      <w:r>
        <w:t>„6i. Sprzedawca energii elektrycznej, wystawiając odbiorcy energii elektrycznej w gospodarstwie domowym fakturę</w:t>
      </w:r>
      <w:r w:rsidR="00B33B8E">
        <w:t>,</w:t>
      </w:r>
      <w:r>
        <w:t xml:space="preserve"> </w:t>
      </w:r>
      <w:r w:rsidR="005D5F40">
        <w:t xml:space="preserve">w </w:t>
      </w:r>
      <w:r w:rsidR="009A57AE">
        <w:t>rozumieniu</w:t>
      </w:r>
      <w:r>
        <w:t xml:space="preserve"> ustawy z dnia 11 marca 2004 r. o podatku od towarów i usług (Dz. U. z 202</w:t>
      </w:r>
      <w:r w:rsidR="005A0A43">
        <w:t>5</w:t>
      </w:r>
      <w:r>
        <w:t xml:space="preserve"> r. poz. </w:t>
      </w:r>
      <w:r w:rsidR="005A0A43">
        <w:t>775, 894, 896, 1203 i 1541</w:t>
      </w:r>
      <w:r>
        <w:t>), jest obowiązany do przekazania wraz z tą fakturą przejrzystego i zrozumiałego podsumowania informacji zawartych w tej fakturze, wyrażonego w języku niespecjalistycznym, zawierającego łączną kwotę do zapłaty, kwotę do zapłaty za obrót energią elektryczną oraz kwotę do zapłaty za usługi dystrybucji tej energii. Podsumowanie nie stanowi integralnej części faktury oraz nie jest załącznikiem do faktury, w rozumieniu przepisów ustawy z dnia 11 marca 2004 r. o podatku od towarów i usług.”;</w:t>
      </w:r>
    </w:p>
    <w:p w14:paraId="6644EFED" w14:textId="77777777" w:rsidR="00FF04D8" w:rsidRDefault="006E09BA">
      <w:pPr>
        <w:pStyle w:val="PKTpunkt"/>
      </w:pPr>
      <w:r>
        <w:t>4)</w:t>
      </w:r>
      <w:r>
        <w:tab/>
        <w:t>w art. 7b po ust. 4 dodaje się ust. 4a w brzmieniu:</w:t>
      </w:r>
    </w:p>
    <w:p w14:paraId="6644EFEE" w14:textId="77777777" w:rsidR="00FF04D8" w:rsidRDefault="006E09BA">
      <w:pPr>
        <w:pStyle w:val="ZUSTzmustartykuempunktem"/>
      </w:pPr>
      <w:r>
        <w:t>„4a. Na potrzeby uznania systemu ciepłowniczego lub chłodniczego za efektywny energetycznie system ciepłowniczy lub chłodniczy, w rozumieniu ust. 4 pkt 1, za energię z odnawialnych źródeł energii w przypadku kotłów elektrycznych uznaje się całość ciepła wytworzonego w kotle elektrycznym z energii elektrycznej ze źródeł odnawialnych, wyliczaną zgodnie z art. 116 ust. 1c ustawy o odnawialnych źródłach energii.”;</w:t>
      </w:r>
    </w:p>
    <w:p w14:paraId="6644EFEF" w14:textId="77777777" w:rsidR="00FF04D8" w:rsidRDefault="006E09BA">
      <w:pPr>
        <w:pStyle w:val="PKTpunkt"/>
      </w:pPr>
      <w:r>
        <w:t>5)</w:t>
      </w:r>
      <w:r>
        <w:tab/>
        <w:t>w art. 32 po ust. 4 dodaje się ust. 4a w brzmieniu:</w:t>
      </w:r>
    </w:p>
    <w:p w14:paraId="6644EFF0" w14:textId="0C2DF95B" w:rsidR="00FF04D8" w:rsidRDefault="7E996210">
      <w:pPr>
        <w:pStyle w:val="ZUSTzmustartykuempunktem"/>
      </w:pPr>
      <w:r>
        <w:t>„4a. Uzyskania koncesji, o której mowa w ust. 1 pkt 1, nie wymaga wykonywanie działalności gospodarczej w zakresie wytwarzania ciepła w źródle, które dostarcza ciepło tylko do jednego odbiorcy, wyłącznie na potrzeby przemysłowych procesów technologicznych.”;</w:t>
      </w:r>
    </w:p>
    <w:p w14:paraId="59FF6D20" w14:textId="23B05563" w:rsidR="6F893596" w:rsidRDefault="00716123" w:rsidP="00ED5760">
      <w:pPr>
        <w:pStyle w:val="PKTpunkt"/>
      </w:pPr>
      <w:r>
        <w:t xml:space="preserve">6) </w:t>
      </w:r>
      <w:r w:rsidR="003F1EAE">
        <w:tab/>
      </w:r>
      <w:r>
        <w:t>w art. 33 ust. 1b pkt</w:t>
      </w:r>
      <w:r w:rsidR="00953BF7">
        <w:t xml:space="preserve"> 3</w:t>
      </w:r>
      <w:r w:rsidR="00021674">
        <w:t xml:space="preserve"> </w:t>
      </w:r>
      <w:r w:rsidR="00B5054B">
        <w:t>s</w:t>
      </w:r>
      <w:r w:rsidR="002946F9">
        <w:t xml:space="preserve">kreśla się </w:t>
      </w:r>
      <w:r w:rsidR="00B071D2">
        <w:t>wyrazy</w:t>
      </w:r>
      <w:r w:rsidR="0075156A">
        <w:t xml:space="preserve"> „</w:t>
      </w:r>
      <w:r w:rsidR="0075156A" w:rsidRPr="0075156A">
        <w:t>(Dz.</w:t>
      </w:r>
      <w:r w:rsidR="00000DAE">
        <w:t xml:space="preserve"> </w:t>
      </w:r>
      <w:r w:rsidR="0075156A" w:rsidRPr="0075156A">
        <w:t>U. z 2023 r. </w:t>
      </w:r>
      <w:hyperlink r:id="rId7" w:history="1">
        <w:r w:rsidR="0075156A" w:rsidRPr="00ED5760">
          <w:t>poz. 1570</w:t>
        </w:r>
      </w:hyperlink>
      <w:r w:rsidR="0075156A" w:rsidRPr="0075156A">
        <w:t>, </w:t>
      </w:r>
      <w:hyperlink r:id="rId8" w:history="1">
        <w:r w:rsidR="0075156A" w:rsidRPr="00ED5760">
          <w:t>1598</w:t>
        </w:r>
      </w:hyperlink>
      <w:r w:rsidR="0075156A" w:rsidRPr="0075156A">
        <w:t> i </w:t>
      </w:r>
      <w:hyperlink r:id="rId9" w:history="1">
        <w:r w:rsidR="0075156A" w:rsidRPr="00ED5760">
          <w:t>1852</w:t>
        </w:r>
      </w:hyperlink>
      <w:r w:rsidR="0075156A" w:rsidRPr="0075156A">
        <w:t>)</w:t>
      </w:r>
      <w:r w:rsidR="0075156A">
        <w:t>”</w:t>
      </w:r>
      <w:r w:rsidR="00000DAE">
        <w:t>;</w:t>
      </w:r>
    </w:p>
    <w:p w14:paraId="6644EFF1" w14:textId="13A60581" w:rsidR="00FF04D8" w:rsidRDefault="003F1EAE">
      <w:pPr>
        <w:pStyle w:val="PKTpunkt"/>
      </w:pPr>
      <w:r>
        <w:t>7</w:t>
      </w:r>
      <w:r w:rsidR="006E09BA">
        <w:t>)</w:t>
      </w:r>
      <w:r w:rsidR="006E09BA">
        <w:tab/>
        <w:t>w art. 43:</w:t>
      </w:r>
    </w:p>
    <w:p w14:paraId="1151A2FD" w14:textId="5AC3C5EA" w:rsidR="00FF04D8" w:rsidRDefault="7E996210">
      <w:pPr>
        <w:pStyle w:val="LITlitera"/>
      </w:pPr>
      <w:r>
        <w:t>a)</w:t>
      </w:r>
      <w:r w:rsidR="006E09BA">
        <w:tab/>
      </w:r>
      <w:r>
        <w:t>w ust. 9</w:t>
      </w:r>
      <w:r w:rsidR="40B0259C">
        <w:t>:</w:t>
      </w:r>
    </w:p>
    <w:p w14:paraId="6644EFF2" w14:textId="238C8225" w:rsidR="00FF04D8" w:rsidRDefault="00EB6F7F">
      <w:pPr>
        <w:pStyle w:val="LITlitera"/>
      </w:pPr>
      <w:r>
        <w:t>–</w:t>
      </w:r>
      <w:r w:rsidR="0B210EB9">
        <w:t xml:space="preserve"> </w:t>
      </w:r>
      <w:r w:rsidR="7E996210">
        <w:t>pkt 1 otrzymuje brzmienie:</w:t>
      </w:r>
    </w:p>
    <w:p w14:paraId="6644EFF3" w14:textId="77777777" w:rsidR="00FF04D8" w:rsidRDefault="006E09BA">
      <w:pPr>
        <w:pStyle w:val="ZLITPKTzmpktliter"/>
      </w:pPr>
      <w:r>
        <w:t>„1)</w:t>
      </w:r>
      <w:r>
        <w:tab/>
        <w:t>premii gwarantowanej – w odniesieniu do:</w:t>
      </w:r>
    </w:p>
    <w:p w14:paraId="6644EFF4" w14:textId="77777777" w:rsidR="00FF04D8" w:rsidRDefault="006E09BA">
      <w:pPr>
        <w:pStyle w:val="ZLITLITzmlitliter"/>
      </w:pPr>
      <w:r>
        <w:lastRenderedPageBreak/>
        <w:t>a)</w:t>
      </w:r>
      <w:r>
        <w:tab/>
        <w:t>nowej małej jednostki kogeneracji, zmodernizowanej małej jednostki kogeneracji i znacznie zmodernizowanej małej jednostki kogeneracji, o których mowa w art. 5 ust. 1 pkt 3 ustawy wymienionej w ust. 7,</w:t>
      </w:r>
    </w:p>
    <w:p w14:paraId="6644EFF5" w14:textId="77777777" w:rsidR="00FF04D8" w:rsidRDefault="006E09BA">
      <w:pPr>
        <w:pStyle w:val="ZLITLITzmlitliter"/>
      </w:pPr>
      <w:r>
        <w:t>b)</w:t>
      </w:r>
      <w:r>
        <w:tab/>
        <w:t>zmodernizowanej jednostce kogeneracji o mocy zainstalowanej elektrycznej nie mniejszej niż 1 MW i mniejszej niż 50 MW, o której mowa w art. 5 ust. 1 pkt 1 ustawy wymienionej w ust. 7;”,</w:t>
      </w:r>
    </w:p>
    <w:p w14:paraId="6644EFF6" w14:textId="60697AA4" w:rsidR="00FF04D8" w:rsidRDefault="7E996210">
      <w:pPr>
        <w:pStyle w:val="LITlitera"/>
      </w:pPr>
      <w:r>
        <w:t xml:space="preserve"> </w:t>
      </w:r>
      <w:r w:rsidR="00EB6F7F">
        <w:t>–</w:t>
      </w:r>
      <w:r w:rsidR="29D3A816">
        <w:t xml:space="preserve"> </w:t>
      </w:r>
      <w:r>
        <w:t>w pkt 2 kropkę zastępuje się średnikiem i dodaje pkt 3 w brzmieniu:</w:t>
      </w:r>
    </w:p>
    <w:p w14:paraId="6644EFF7" w14:textId="77777777" w:rsidR="00FF04D8" w:rsidRDefault="7E996210">
      <w:pPr>
        <w:pStyle w:val="ZLITPKTzmpktliter"/>
      </w:pPr>
      <w:r>
        <w:t>„3)</w:t>
      </w:r>
      <w:r w:rsidR="006E09BA">
        <w:tab/>
      </w:r>
      <w:r>
        <w:t>premii gwarantowanej indywidualnej – w odniesieniu do jednostki, o której mowa w art. 6 ust. 1 pkt 2 ustawy wymienionej w ust. 7;”,</w:t>
      </w:r>
    </w:p>
    <w:p w14:paraId="6644EFF8" w14:textId="7B7F6565" w:rsidR="00FF04D8" w:rsidRDefault="6B445C5F">
      <w:pPr>
        <w:pStyle w:val="LITlitera"/>
      </w:pPr>
      <w:r>
        <w:t>b</w:t>
      </w:r>
      <w:r w:rsidR="7E996210">
        <w:t>)</w:t>
      </w:r>
      <w:r w:rsidR="006E09BA">
        <w:tab/>
      </w:r>
      <w:r w:rsidR="7E996210">
        <w:t>ust. 10 otrzymuje brzmienie:</w:t>
      </w:r>
    </w:p>
    <w:p w14:paraId="6644EFF9" w14:textId="77777777" w:rsidR="00FF04D8" w:rsidRDefault="006E09BA">
      <w:pPr>
        <w:pStyle w:val="ZLITUSTzmustliter"/>
      </w:pPr>
      <w:r>
        <w:t>„10. Wytwórca energii elektrycznej, który nie uzyska stwierdzenia, o którym mowa w ust. 9, dla inwestycji, o której mowa w ust. 7, nie może złożyć wniosku do Prezesa URE o dopuszczenie do:</w:t>
      </w:r>
    </w:p>
    <w:p w14:paraId="6644EFFA" w14:textId="77777777" w:rsidR="00FF04D8" w:rsidRDefault="7E996210">
      <w:pPr>
        <w:pStyle w:val="ZLITPKTzmpktliter"/>
      </w:pPr>
      <w:r>
        <w:t>1)</w:t>
      </w:r>
      <w:r w:rsidR="006E09BA">
        <w:tab/>
      </w:r>
      <w:r>
        <w:t>systemu premii gwarantowanej, o którym mowa w art. 30 ust. 1 ustawy wymienionej w ust. 7 – w przypadku nowej małej jednostki kogeneracji, zmodernizowanej małej jednostki kogeneracji i znacznie zmodernizowanej małej jednostki kogeneracji, o których mowa w art. 5 ust. 1 pkt 3 ustawy wymienionej w ust. 7 – dla energii elektrycznej wytworzonej w tej jednostce oraz w przypadku zmodernizowanej jednostki kogeneracji o mocy zainstalowanej elektrycznej nie mniejszej niż 1 MW i mniejszej niż 50 MW, o której mowa w art. 5 ust. 1 pkt 1 ustawy wymienionej w ust. 7, dla energii elektrycznej wytworzonej, wprowadzonej do sieci i sprzedanej z tej jednostki;</w:t>
      </w:r>
    </w:p>
    <w:p w14:paraId="6644EFFB" w14:textId="77777777" w:rsidR="00FF04D8" w:rsidRDefault="006E09BA">
      <w:pPr>
        <w:pStyle w:val="ZLITPKTzmpktliter"/>
      </w:pPr>
      <w:r>
        <w:t>2)</w:t>
      </w:r>
      <w:r>
        <w:tab/>
        <w:t>udziału w naborze – w przypadku jednostki, o której mowa w art. 6 ust. 1 pkt 1 ustawy wymienionej w ust. 7, dla energii elektrycznej wytworzonej, wprowadzonej do sieci i sprzedanej z tej jednostki;</w:t>
      </w:r>
    </w:p>
    <w:p w14:paraId="6644EFFC" w14:textId="77777777" w:rsidR="00FF04D8" w:rsidRDefault="006E09BA">
      <w:pPr>
        <w:pStyle w:val="ZLITPKTzmpktliter"/>
      </w:pPr>
      <w:r>
        <w:t>3)</w:t>
      </w:r>
      <w:r>
        <w:tab/>
        <w:t>systemu premii gwarantowanej indywidualnej – w przypadku jednostki, o której mowa w art. 6 ust. 1 pkt 2 ustawy wymienionej w ust. 7, dla energii elektrycznej wytworzonej, wprowadzonej do sieci i sprzedanej z tej jednostki.”;</w:t>
      </w:r>
    </w:p>
    <w:p w14:paraId="6644EFFD" w14:textId="6161C7FA" w:rsidR="00FF04D8" w:rsidRDefault="003F1EAE">
      <w:pPr>
        <w:pStyle w:val="PKTpunkt"/>
      </w:pPr>
      <w:r>
        <w:t>8</w:t>
      </w:r>
      <w:r w:rsidR="006E09BA">
        <w:t>)</w:t>
      </w:r>
      <w:r w:rsidR="006E09BA">
        <w:tab/>
        <w:t>w art. 45 w ust. 1 pkt 1b otrzymuje brzmienie:</w:t>
      </w:r>
    </w:p>
    <w:p w14:paraId="6644EFFE" w14:textId="77777777" w:rsidR="00FF04D8" w:rsidRDefault="7E996210">
      <w:pPr>
        <w:pStyle w:val="ZPKTzmpktartykuempunktem"/>
      </w:pPr>
      <w:r>
        <w:t>„1b)</w:t>
      </w:r>
      <w:r w:rsidR="006E09BA">
        <w:tab/>
      </w:r>
      <w:r>
        <w:t xml:space="preserve">pokrycie kosztów uzasadnionych działalności gospodarczej przedsiębiorstw energetycznych w zakresie wytwarzania, przetwarzania, przesyłania, dystrybucji lub obrotu ciepłem, jego magazynowania oraz zagospodarowania </w:t>
      </w:r>
      <w:r>
        <w:lastRenderedPageBreak/>
        <w:t>ciepła odpadowego, wraz z uzasadnionym zwrotem z kapitału zaangażowanego w tę działalność w odniesieniu do wartości księgowej poszczególnych rzeczowych aktywów trwałych; na zwrot z kapitału składa się stopa wolna od ryzyka oraz premia za ryzyko, które zostaną określone przez ministra właściwego do spraw energii; minister właściwy do spraw energii określając premię za ryzyko, zróżnicuje ją w odniesieniu do poszczególnych rzeczowych aktywów trwałych zaangażowanych w prowadzenie powyższej działalności gospodarczej, z uwzględnieniem planowanych nakładów inwestycyjnych w te aktywa;”;</w:t>
      </w:r>
    </w:p>
    <w:p w14:paraId="6644EFFF" w14:textId="7F41BE6C" w:rsidR="00FF04D8" w:rsidRDefault="003F1EAE">
      <w:pPr>
        <w:pStyle w:val="PKTpunkt"/>
      </w:pPr>
      <w:r>
        <w:t>9</w:t>
      </w:r>
      <w:r w:rsidR="006E09BA">
        <w:t>)</w:t>
      </w:r>
      <w:r w:rsidR="006E09BA">
        <w:tab/>
        <w:t xml:space="preserve">w art. 46 ust. 5 otrzymuje brzmienie: </w:t>
      </w:r>
    </w:p>
    <w:p w14:paraId="6644F000" w14:textId="77777777" w:rsidR="00FF04D8" w:rsidRDefault="006E09BA">
      <w:pPr>
        <w:pStyle w:val="ZUSTzmustartykuempunktem"/>
      </w:pPr>
      <w:r>
        <w:t>„5. Minister właściwy do spraw energii, po zasięgnięciu opinii Prezesa URE, określi, w drodze rozporządzenia, szczegółowe zasady kształtowania i kalkulacji taryf dla ciepła oraz szczegółowe zasady rozliczeń z tytułu zaopatrzenia w ciepło, biorąc pod uwagę: politykę energetyczną państwa, zapewnienie pokrycia uzasadnionych kosztów przedsiębiorstw energetycznych, w tym kosztów ich rozwoju, ochronę interesów odbiorców przed nieuzasadnionym poziomem cen i opłat, poprawę efektywności dostarczania i wykorzystywania ciepła, równoprawne traktowanie odbiorców, eliminowanie subsydiowania skrośnego, przejrzystość cen i stawek opłat oraz udział ciepła odpadowego i ciepła z odnawialnych źródeł energii w systemach ciepłowniczych, uwzględniając dążenie do osiągnięcia neutralności klimatycznej.”;</w:t>
      </w:r>
    </w:p>
    <w:p w14:paraId="6644F001" w14:textId="18333810" w:rsidR="00FF04D8" w:rsidRDefault="003F1EAE">
      <w:pPr>
        <w:pStyle w:val="PKTpunkt"/>
      </w:pPr>
      <w:r>
        <w:t>10</w:t>
      </w:r>
      <w:r w:rsidR="006E09BA">
        <w:t>)</w:t>
      </w:r>
      <w:r w:rsidR="006E09BA">
        <w:tab/>
        <w:t>w art. 46 w ust. 6 po pkt 3 dodaje się pkt 3a w brzmieniu:</w:t>
      </w:r>
    </w:p>
    <w:p w14:paraId="6644F002" w14:textId="513ED132" w:rsidR="00FF04D8" w:rsidRDefault="7E996210">
      <w:pPr>
        <w:pStyle w:val="ZPKTzmpktartykuempunktem"/>
      </w:pPr>
      <w:r>
        <w:t>3a)</w:t>
      </w:r>
      <w:r w:rsidR="006E09BA">
        <w:tab/>
      </w:r>
      <w:r>
        <w:t xml:space="preserve"> stop</w:t>
      </w:r>
      <w:r w:rsidR="2BC0EBED">
        <w:t>ę</w:t>
      </w:r>
      <w:r>
        <w:t xml:space="preserve"> woln</w:t>
      </w:r>
      <w:r w:rsidR="0FBE4529">
        <w:t>ą</w:t>
      </w:r>
      <w:r>
        <w:t xml:space="preserve"> od ryzyka oraz rzeczowe aktywa trwałe, dla których uwzględnia się premię za ryzyko i procentową wysokość tej premii dla poszczególnych rzeczowych aktywów trwałych, z uwzględnieniem planowanych nakładów inwestycyjnych w te aktywa;”;</w:t>
      </w:r>
    </w:p>
    <w:p w14:paraId="6644F004" w14:textId="2DF1F37F" w:rsidR="00FF04D8" w:rsidRDefault="7E996210" w:rsidP="6F893596">
      <w:pPr>
        <w:pStyle w:val="LITlitera"/>
        <w:ind w:left="0" w:firstLine="0"/>
      </w:pPr>
      <w:r>
        <w:t>1</w:t>
      </w:r>
      <w:r w:rsidR="003F1EAE">
        <w:t>1</w:t>
      </w:r>
      <w:r>
        <w:t>)</w:t>
      </w:r>
      <w:r w:rsidR="006E09BA">
        <w:tab/>
      </w:r>
      <w:r>
        <w:t>w art. 47</w:t>
      </w:r>
      <w:r w:rsidR="00A30E79">
        <w:t xml:space="preserve"> </w:t>
      </w:r>
      <w:r>
        <w:t>po ust. 1c dodaje się ust. 1d w brzmieniu:</w:t>
      </w:r>
    </w:p>
    <w:p w14:paraId="6644F005" w14:textId="77777777" w:rsidR="00FF04D8" w:rsidRDefault="006E09BA">
      <w:pPr>
        <w:pStyle w:val="ZLITUSTzmustliter"/>
      </w:pPr>
      <w:r>
        <w:t>„1d. Nie podlegają zatwierdzeniu przez Prezesa URE taryfy ustalane przez przedsiębiorstwo energetyczne posiadające koncesję na wytwarzanie ciepła, w części spełniającej łącznie następujące warunki:</w:t>
      </w:r>
    </w:p>
    <w:p w14:paraId="6644F006" w14:textId="77777777" w:rsidR="00FF04D8" w:rsidRDefault="006E09BA">
      <w:pPr>
        <w:pStyle w:val="ZLITPKTzmpktliter"/>
      </w:pPr>
      <w:r>
        <w:t>1)</w:t>
      </w:r>
      <w:r>
        <w:tab/>
        <w:t xml:space="preserve">przedsiębiorstwo energetyczne bezpośrednio dostarcza ciepło do odbiorcy, który prowadzi działalność gospodarczą, </w:t>
      </w:r>
    </w:p>
    <w:p w14:paraId="6644F007" w14:textId="77777777" w:rsidR="00FF04D8" w:rsidRDefault="006E09BA">
      <w:pPr>
        <w:pStyle w:val="ZLITPKTzmpktliter"/>
      </w:pPr>
      <w:r>
        <w:lastRenderedPageBreak/>
        <w:t>2)</w:t>
      </w:r>
      <w:r>
        <w:tab/>
        <w:t xml:space="preserve">występuje brak uprawnienia lub zobowiązania tego odbiorcy do zapewnienia ciepła w lokalach mieszkalnych na potrzeby gospodarstw domowych i </w:t>
      </w:r>
    </w:p>
    <w:p w14:paraId="6644F008" w14:textId="47F924C0" w:rsidR="00FF04D8" w:rsidRDefault="006E09BA">
      <w:pPr>
        <w:pStyle w:val="ZLITPKTzmpktliter"/>
      </w:pPr>
      <w:r>
        <w:t>3)</w:t>
      </w:r>
      <w:r>
        <w:tab/>
        <w:t>zachodzi zgodna wola dwóch stron na sprzedaż i zakup ciepła na podstawie umowy, z pominięciem cen i stawek opłat zawartych w taryfie dla ciepła.”</w:t>
      </w:r>
      <w:r w:rsidR="0089247B">
        <w:t>.</w:t>
      </w:r>
    </w:p>
    <w:p w14:paraId="6644F016" w14:textId="09E955BF" w:rsidR="00FF04D8" w:rsidRDefault="7E996210">
      <w:pPr>
        <w:pStyle w:val="ARTartustawynprozporzdzenia"/>
      </w:pPr>
      <w:r w:rsidRPr="6F893596">
        <w:rPr>
          <w:rStyle w:val="Ppogrubienie"/>
        </w:rPr>
        <w:t>Art. 2.</w:t>
      </w:r>
      <w:r>
        <w:t xml:space="preserve"> W ustawie z dnia 20 lutego 2015 r. o odnawialnych źródłach energii (Dz. U. z 2024 r. poz. 1361, </w:t>
      </w:r>
      <w:r w:rsidR="006674BC">
        <w:t>z późn. zm.</w:t>
      </w:r>
      <w:r w:rsidR="006674BC">
        <w:rPr>
          <w:rStyle w:val="Odwoanieprzypisudolnego"/>
        </w:rPr>
        <w:footnoteReference w:id="3"/>
      </w:r>
      <w:r w:rsidR="006674BC" w:rsidRPr="006674BC">
        <w:rPr>
          <w:vertAlign w:val="superscript"/>
        </w:rPr>
        <w:t>)</w:t>
      </w:r>
      <w:r>
        <w:t>) wprowadza się następujące zmiany:</w:t>
      </w:r>
    </w:p>
    <w:p w14:paraId="6644F017" w14:textId="77777777" w:rsidR="00FF04D8" w:rsidRDefault="006E09BA">
      <w:pPr>
        <w:pStyle w:val="PKTpunkt"/>
      </w:pPr>
      <w:r>
        <w:t>1)</w:t>
      </w:r>
      <w:r>
        <w:tab/>
        <w:t>w art. 116 po ust. 1b dodaje się ust. 1c i 1d w brzmieniu:</w:t>
      </w:r>
    </w:p>
    <w:p w14:paraId="6644F018" w14:textId="77777777" w:rsidR="00FF04D8" w:rsidRDefault="006E09BA">
      <w:pPr>
        <w:pStyle w:val="ZUSTzmustartykuempunktem"/>
      </w:pPr>
      <w:r>
        <w:t>„1c. W przypadku gdy ciepło zostanie wytworzone w kotle elektrycznym, obowiązek zakupu ciepła obejmuje całość ciepła wytworzonego w tym kotle elektrycznym z energii elektrycznej pochodzącej z odnawialnych źródeł energii dostarczonej do tego kotła:</w:t>
      </w:r>
    </w:p>
    <w:p w14:paraId="6644F019" w14:textId="77777777" w:rsidR="00FF04D8" w:rsidRDefault="006E09BA">
      <w:pPr>
        <w:pStyle w:val="ZPKTzmpktartykuempunktem"/>
      </w:pPr>
      <w:r>
        <w:t>1)</w:t>
      </w:r>
      <w:r>
        <w:tab/>
        <w:t>na podstawie umowy sprzedaży energii elektrycznej wytworzonej z odnawialnego źródła energii, o której mowa w art. 5 ust. 2d ustawy – Prawo energetyczne, w której wytwórca zobowiązał się dostarczać energię elektryczną wytworzoną z odnawialnych źródeł energii w indywidualnie wskazanej instalacji lub instalacjach lub,</w:t>
      </w:r>
    </w:p>
    <w:p w14:paraId="6644F01A" w14:textId="77777777" w:rsidR="00FF04D8" w:rsidRDefault="006E09BA">
      <w:pPr>
        <w:pStyle w:val="ZPKTzmpktartykuempunktem"/>
      </w:pPr>
      <w:r>
        <w:t>2)</w:t>
      </w:r>
      <w:r>
        <w:tab/>
        <w:t>przez krajowy system elektroenergetyczny z uwzględnieniem średniego udziału energii elektrycznej z instalacji odnawialnych źródeł energii w roku poprzednim określonego zgodnie z ust. 1d,</w:t>
      </w:r>
    </w:p>
    <w:p w14:paraId="6644F01B" w14:textId="77777777" w:rsidR="00FF04D8" w:rsidRDefault="006E09BA">
      <w:pPr>
        <w:pStyle w:val="ZPKTzmpktartykuempunktem"/>
      </w:pPr>
      <w:r>
        <w:t>3)</w:t>
      </w:r>
      <w:r>
        <w:tab/>
        <w:t>bezpośrednio z instalacji odnawialnego źródła energii</w:t>
      </w:r>
    </w:p>
    <w:p w14:paraId="6644F01C" w14:textId="77777777" w:rsidR="00FF04D8" w:rsidRDefault="006E09BA">
      <w:pPr>
        <w:pStyle w:val="ZCZWSPPKTzmczciwsppktartykuempunktem"/>
      </w:pPr>
      <w:r>
        <w:t>– przy czym warunkiem objęcia wytworzonego ciepła obowiązkiem zakupu jest opomiarowanie energii elektrycznej dostarczanej do kotła elektrycznego w sposób umożliwiający określenie ilości energii elektrycznej dostarczonej zgodnie z pkt 1–3.</w:t>
      </w:r>
    </w:p>
    <w:p w14:paraId="6644F01D" w14:textId="77777777" w:rsidR="00FF04D8" w:rsidRDefault="006E09BA">
      <w:pPr>
        <w:pStyle w:val="ZUSTzmustartykuempunktem"/>
      </w:pPr>
      <w:r>
        <w:t>1d. Operator systemu przesyłowego elektroenergetycznego do 31 stycznia każdego roku udostępnia na swojej stronie internetowej informację o średnim udziale energii elektrycznej z odnawialnych źródeł energii w krajowym systemie elektroenergetycznym w roku poprzednim.”;</w:t>
      </w:r>
    </w:p>
    <w:p w14:paraId="6644F01E" w14:textId="77777777" w:rsidR="00FF04D8" w:rsidRDefault="006E09BA">
      <w:pPr>
        <w:pStyle w:val="PKTpunkt"/>
      </w:pPr>
      <w:r>
        <w:t>2)</w:t>
      </w:r>
      <w:r>
        <w:tab/>
        <w:t>w art. 135 dotychczasową treść oznacza się jako ust. 1 i dodaje się ust. 2 w brzmieniu:</w:t>
      </w:r>
    </w:p>
    <w:p w14:paraId="6644F01F" w14:textId="30207E0F" w:rsidR="00FF04D8" w:rsidRDefault="7E996210">
      <w:pPr>
        <w:pStyle w:val="ZUSTzmustartykuempunktem"/>
      </w:pPr>
      <w:r>
        <w:lastRenderedPageBreak/>
        <w:t>„2. Ciepła wytworzonego w urządzeniach, o których mowa w art. 116 ust. 1c, nie</w:t>
      </w:r>
      <w:r w:rsidR="00960FC7">
        <w:t xml:space="preserve"> uwzględnia </w:t>
      </w:r>
      <w:r>
        <w:t>się do celów statystycznych celu określonego w art. 23 ust. 1 akapit 1 dyrektywy Parlamentu Europejskiego i Rady (UE) 2018/2001 z dnia 11 grudnia 2018 r. w sprawie promowania stosowania energii ze źródeł odnawialnych</w:t>
      </w:r>
      <w:r w:rsidR="261C5E47">
        <w:t xml:space="preserve"> </w:t>
      </w:r>
      <w:r w:rsidR="261C5E47" w:rsidRPr="6F893596">
        <w:t>(Dz. Urz. UE L 328 z 21.12.2018, str. 82</w:t>
      </w:r>
      <w:r w:rsidR="74D9AF82" w:rsidRPr="6F893596">
        <w:rPr>
          <w:rFonts w:ascii="Noto Serif" w:eastAsia="Noto Serif" w:hAnsi="Noto Serif" w:cs="Noto Serif"/>
          <w:color w:val="333333"/>
          <w:sz w:val="21"/>
          <w:szCs w:val="21"/>
        </w:rPr>
        <w:t>, z późn. zm.</w:t>
      </w:r>
      <w:r w:rsidR="00ED7370">
        <w:rPr>
          <w:rStyle w:val="Odwoanieprzypisudolnego"/>
          <w:rFonts w:ascii="Noto Serif" w:eastAsia="Noto Serif" w:hAnsi="Noto Serif"/>
          <w:color w:val="333333"/>
          <w:sz w:val="21"/>
          <w:szCs w:val="21"/>
        </w:rPr>
        <w:footnoteReference w:id="4"/>
      </w:r>
      <w:r w:rsidR="005870D6" w:rsidRPr="005870D6">
        <w:rPr>
          <w:rFonts w:ascii="Noto Serif" w:eastAsia="Noto Serif" w:hAnsi="Noto Serif" w:cs="Noto Serif"/>
          <w:color w:val="333333"/>
          <w:sz w:val="21"/>
          <w:szCs w:val="21"/>
          <w:vertAlign w:val="superscript"/>
        </w:rPr>
        <w:t>)</w:t>
      </w:r>
      <w:r w:rsidR="261C5E47" w:rsidRPr="6F893596">
        <w:t>)</w:t>
      </w:r>
      <w:r>
        <w:t>.”.</w:t>
      </w:r>
    </w:p>
    <w:p w14:paraId="6644F020" w14:textId="02A0A1E5" w:rsidR="00FF04D8" w:rsidRDefault="006E09BA">
      <w:pPr>
        <w:pStyle w:val="ARTartustawynprozporzdzenia"/>
      </w:pPr>
      <w:r>
        <w:rPr>
          <w:rStyle w:val="Ppogrubienie"/>
        </w:rPr>
        <w:t>Art. 3.</w:t>
      </w:r>
      <w:r w:rsidR="00BE0E68">
        <w:t xml:space="preserve"> </w:t>
      </w:r>
      <w:r>
        <w:t>W ustawie z dnia 14 grudnia 2018 r. o promowaniu energii elektrycznej z wysokosprawnej kogeneracji (Dz. U. z 2025 r. poz. 602) wprowadza się następujące zmiany:</w:t>
      </w:r>
    </w:p>
    <w:p w14:paraId="6644F021" w14:textId="77777777" w:rsidR="00FF04D8" w:rsidRDefault="006E09BA">
      <w:pPr>
        <w:pStyle w:val="PKTpunkt"/>
      </w:pPr>
      <w:r>
        <w:t>1)</w:t>
      </w:r>
      <w:r>
        <w:tab/>
        <w:t>w art. 5 po ust. 1 dodaje się ust. 1a w brzmieniu:</w:t>
      </w:r>
    </w:p>
    <w:p w14:paraId="6644F022" w14:textId="77777777" w:rsidR="00FF04D8" w:rsidRDefault="006E09BA">
      <w:pPr>
        <w:pStyle w:val="ZUSTzmustartykuempunktem"/>
      </w:pPr>
      <w:r>
        <w:t>„1a. W przypadku gdy w danej lokalizacji zostało wybudowane przez wytwórcę kolejne źródło o łącznej mocy zainstalowanej elektrycznej mniejszej niż 1 MW jednostki kogeneracji wchodzące w skład tego źródła mogą uzyskać dopuszczenie do systemu wsparcia w formie premii gwarantowanej dla nowej małej jednostki kogeneracji o ile:</w:t>
      </w:r>
    </w:p>
    <w:p w14:paraId="6644F023" w14:textId="77777777" w:rsidR="00FF04D8" w:rsidRDefault="006E09BA">
      <w:pPr>
        <w:pStyle w:val="ZPKTzmpktartykuempunktem"/>
      </w:pPr>
      <w:r>
        <w:t>1)</w:t>
      </w:r>
      <w:r>
        <w:tab/>
        <w:t>wybudowanie tego źródła nastąpiło po upływie trzech lat od wydania ostatniego dopuszczenia dla nowej małej jednostki kogeneracji, znacznie zmodernizowanej małej jednostki kogeneracji, istniejącej małej jednostki kogeneracji i zmodernizowanej małej jednostki kogeneracji wchodzących w skład istniejącego źródła;</w:t>
      </w:r>
    </w:p>
    <w:p w14:paraId="6644F024" w14:textId="77777777" w:rsidR="00FF04D8" w:rsidRDefault="006E09BA">
      <w:pPr>
        <w:pStyle w:val="ZPKTzmpktartykuempunktem"/>
      </w:pPr>
      <w:r>
        <w:t>2)</w:t>
      </w:r>
      <w:r>
        <w:tab/>
        <w:t>brak jest połączeń pomiędzy jednostkami kogeneracyjnymi wchodzącymi w skład poszczególnych źródeł;</w:t>
      </w:r>
    </w:p>
    <w:p w14:paraId="6644F025" w14:textId="77777777" w:rsidR="00FF04D8" w:rsidRDefault="006E09BA">
      <w:pPr>
        <w:pStyle w:val="ZPKTzmpktartykuempunktem"/>
      </w:pPr>
      <w:r>
        <w:t>3)</w:t>
      </w:r>
      <w:r>
        <w:tab/>
        <w:t>budowa nowego źródła uzasadniona jest zwiększeniem zapotrzebowania na energię.</w:t>
      </w:r>
    </w:p>
    <w:p w14:paraId="6644F026" w14:textId="77777777" w:rsidR="00FF04D8" w:rsidRDefault="006E09BA">
      <w:pPr>
        <w:pStyle w:val="PKTpunkt"/>
      </w:pPr>
      <w:r>
        <w:t>2)</w:t>
      </w:r>
      <w:r>
        <w:tab/>
        <w:t>art. 9 otrzymuje brzmienie:</w:t>
      </w:r>
    </w:p>
    <w:p w14:paraId="6644F027" w14:textId="77777777" w:rsidR="00FF04D8" w:rsidRDefault="006E09BA">
      <w:pPr>
        <w:pStyle w:val="ZARTzmartartykuempunktem"/>
      </w:pPr>
      <w:r>
        <w:t>„Art. 9. Wsparcie, o którym mowa w rozdziałach 3–5, nie przysługuje dla nowej jednostki kogeneracji lub nowej małej jednostki kogeneracji, jeżeli ciepło wytworzone w tej jednostce będzie wprowadzane do publicznej sieci ciepłowniczej zasilanej przez istniejącą jednostkę kogeneracji, z wyłączeniem przypadku, gdy nowa jednostka kogeneracji lub nowa mała jednostka kogeneracji zastępuje jedną lub więcej jednostek wytwórczych lub stanowi niezbędną rozbudowę jednostek wytwórczych, w celu zapewnienia dostarczania ciepła do tej sieci ciepłowniczej.”;</w:t>
      </w:r>
    </w:p>
    <w:p w14:paraId="6644F028" w14:textId="77777777" w:rsidR="00FF04D8" w:rsidRDefault="006E09BA">
      <w:pPr>
        <w:pStyle w:val="PKTpunkt"/>
      </w:pPr>
      <w:r>
        <w:lastRenderedPageBreak/>
        <w:t>3)</w:t>
      </w:r>
      <w:r>
        <w:tab/>
        <w:t>w art. 16 ust. 3 otrzymuje brzmienie:</w:t>
      </w:r>
    </w:p>
    <w:p w14:paraId="6644F029" w14:textId="77777777" w:rsidR="00FF04D8" w:rsidRDefault="006E09BA">
      <w:pPr>
        <w:pStyle w:val="ZUSTzmustartykuempunktem"/>
      </w:pPr>
      <w:r>
        <w:t>„3. Przedmiotem aukcji jest premia kogeneracyjna za sprzedaż energii elektrycznej z wysokosprawnej kogeneracji wytworzonej w nowej jednostce kogeneracji lub znacznie zmodernizowanej jednostce kogeneracji, o których mowa w art. 4 ust. 1, w terminie:</w:t>
      </w:r>
    </w:p>
    <w:p w14:paraId="6644F02A" w14:textId="77777777" w:rsidR="00FF04D8" w:rsidRDefault="006E09BA">
      <w:pPr>
        <w:pStyle w:val="ZPKTzmpktartykuempunktem"/>
      </w:pPr>
      <w:r>
        <w:t>1)</w:t>
      </w:r>
      <w:r>
        <w:tab/>
        <w:t>60 miesięcy od dnia rozstrzygnięcia aukcji – w przypadku jednostki opalanej paliwem, o którym mowa w art. 15 ust. 7 pkt 1,</w:t>
      </w:r>
    </w:p>
    <w:p w14:paraId="6644F02B" w14:textId="77777777" w:rsidR="00FF04D8" w:rsidRDefault="006E09BA">
      <w:pPr>
        <w:pStyle w:val="ZPKTzmpktartykuempunktem"/>
      </w:pPr>
      <w:r>
        <w:t>2)</w:t>
      </w:r>
      <w:r>
        <w:tab/>
        <w:t>72 miesięcy od dnia rozstrzygnięcia aukcji – w przypadku jednostki opalanej paliwem, o którym mowa w art. 15 ust. 7 pkt 3 i 4</w:t>
      </w:r>
    </w:p>
    <w:p w14:paraId="6644F02C" w14:textId="77777777" w:rsidR="00FF04D8" w:rsidRDefault="006E09BA">
      <w:pPr>
        <w:pStyle w:val="ZCZWSPPKTzmczciwsppktartykuempunktem"/>
      </w:pPr>
      <w:r>
        <w:t>– która osiągnie jednostkowy wskaźnik emisji dwutlenku węgla na poziomie nie wyższym niż 450 kg na 1 MWh wytwarzanej energii.”;</w:t>
      </w:r>
    </w:p>
    <w:p w14:paraId="6644F02D" w14:textId="77777777" w:rsidR="00FF04D8" w:rsidRDefault="006E09BA">
      <w:pPr>
        <w:pStyle w:val="PKTpunkt"/>
      </w:pPr>
      <w:r>
        <w:t>4)</w:t>
      </w:r>
      <w:r>
        <w:tab/>
        <w:t>w art. 18 w ust. 4 uchyla się pkt 4;</w:t>
      </w:r>
    </w:p>
    <w:p w14:paraId="6644F02E" w14:textId="77777777" w:rsidR="00FF04D8" w:rsidRDefault="006E09BA">
      <w:pPr>
        <w:pStyle w:val="PKTpunkt"/>
      </w:pPr>
      <w:r>
        <w:t>5)</w:t>
      </w:r>
      <w:r>
        <w:tab/>
        <w:t>w art. 21 w ust. 3:</w:t>
      </w:r>
    </w:p>
    <w:p w14:paraId="6644F02F" w14:textId="77777777" w:rsidR="00FF04D8" w:rsidRDefault="006E09BA">
      <w:pPr>
        <w:pStyle w:val="LITlitera"/>
      </w:pPr>
      <w:r>
        <w:t>a)</w:t>
      </w:r>
      <w:r>
        <w:tab/>
        <w:t>po pkt 3 dodaje się pkt 3a w brzmieniu:</w:t>
      </w:r>
    </w:p>
    <w:p w14:paraId="6644F030" w14:textId="77777777" w:rsidR="00FF04D8" w:rsidRDefault="006E09BA">
      <w:pPr>
        <w:pStyle w:val="ZLITPKTzmpktliter"/>
      </w:pPr>
      <w:r>
        <w:t>„3a)</w:t>
      </w:r>
      <w:r>
        <w:tab/>
        <w:t>wskazanie planowanej daty rozpoczęcia okresu, w którym wytwórca, w przypadku wygrania aukcji, będzie korzystać z systemu wsparcia, o którym mowa w rozdziale 3, oraz okresu tego wsparcia;”,</w:t>
      </w:r>
    </w:p>
    <w:p w14:paraId="6644F031" w14:textId="77777777" w:rsidR="00FF04D8" w:rsidRDefault="006E09BA">
      <w:pPr>
        <w:pStyle w:val="LITlitera"/>
      </w:pPr>
      <w:r>
        <w:t>b)</w:t>
      </w:r>
      <w:r>
        <w:tab/>
        <w:t>w pkt 7 lit. b otrzymuje brzmienie:</w:t>
      </w:r>
    </w:p>
    <w:p w14:paraId="6644F032" w14:textId="77777777" w:rsidR="00FF04D8" w:rsidRDefault="006E09BA">
      <w:pPr>
        <w:pStyle w:val="ZLITLITwPKTzmlitwpktliter"/>
      </w:pPr>
      <w:r>
        <w:t>„b)</w:t>
      </w:r>
      <w:r>
        <w:tab/>
        <w:t xml:space="preserve">do wytworzenia po raz pierwszy energii elektrycznej z wysokosprawnej kogeneracji w nowej jednostce kogeneracji lub znacznie zmodernizowanej jednostce kogeneracji w terminie: </w:t>
      </w:r>
    </w:p>
    <w:p w14:paraId="6644F033" w14:textId="77777777" w:rsidR="00FF04D8" w:rsidRDefault="006E09BA">
      <w:pPr>
        <w:pStyle w:val="ZLITTIRwLITzmtirwlitliter"/>
      </w:pPr>
      <w:r>
        <w:t xml:space="preserve">– 60 miesięcy od dnia rozstrzygnięcia aukcji – w przypadku jednostek opalanych paliwem, o którym mowa w art. 15 ust. 7 pkt 1, </w:t>
      </w:r>
    </w:p>
    <w:p w14:paraId="6644F034" w14:textId="77777777" w:rsidR="00FF04D8" w:rsidRDefault="006E09BA">
      <w:pPr>
        <w:pStyle w:val="ZLITTIRwLITzmtirwlitliter"/>
      </w:pPr>
      <w:r>
        <w:t>– 72 miesięcy od dnia rozstrzygnięcia aukcji – w przypadku jednostek opalanych paliwem, o którym mowa w art. 15 ust. 7 pkt 3 i 4,”;</w:t>
      </w:r>
    </w:p>
    <w:p w14:paraId="6644F035" w14:textId="77777777" w:rsidR="00FF04D8" w:rsidRDefault="006E09BA">
      <w:pPr>
        <w:pStyle w:val="PKTpunkt"/>
      </w:pPr>
      <w:r>
        <w:t>6)</w:t>
      </w:r>
      <w:r>
        <w:tab/>
        <w:t>w art. 27:</w:t>
      </w:r>
    </w:p>
    <w:p w14:paraId="6644F036" w14:textId="77777777" w:rsidR="00FF04D8" w:rsidRDefault="006E09BA">
      <w:pPr>
        <w:pStyle w:val="LITlitera"/>
      </w:pPr>
      <w:r>
        <w:t>a)</w:t>
      </w:r>
      <w:r>
        <w:tab/>
        <w:t>w ust. 1 w pkt 3 wyrazy „12 miesięcy” zastępuje się wyrazami „24 miesiące”,</w:t>
      </w:r>
    </w:p>
    <w:p w14:paraId="6644F037" w14:textId="77777777" w:rsidR="00FF04D8" w:rsidRDefault="006E09BA">
      <w:pPr>
        <w:pStyle w:val="LITlitera"/>
      </w:pPr>
      <w:r>
        <w:t>b)</w:t>
      </w:r>
      <w:r>
        <w:tab/>
        <w:t>w ust. 2 w pkt 2 wyrazy „12 miesięcy” zastępuje się wyrazami „24 miesięcy”;</w:t>
      </w:r>
    </w:p>
    <w:p w14:paraId="6644F038" w14:textId="77777777" w:rsidR="00FF04D8" w:rsidRDefault="006E09BA">
      <w:pPr>
        <w:pStyle w:val="PKTpunkt"/>
      </w:pPr>
      <w:r>
        <w:t>7)</w:t>
      </w:r>
      <w:r>
        <w:tab/>
        <w:t>w art. 30:</w:t>
      </w:r>
    </w:p>
    <w:p w14:paraId="6644F039" w14:textId="77777777" w:rsidR="00FF04D8" w:rsidRDefault="006E09BA">
      <w:pPr>
        <w:pStyle w:val="LITlitera"/>
      </w:pPr>
      <w:r>
        <w:t>a)</w:t>
      </w:r>
      <w:r>
        <w:tab/>
        <w:t>w ust. 3 pkt 7 otrzymuje brzmienie:</w:t>
      </w:r>
    </w:p>
    <w:p w14:paraId="6644F03A" w14:textId="77777777" w:rsidR="00FF04D8" w:rsidRDefault="006E09BA">
      <w:pPr>
        <w:pStyle w:val="ZLITPKTzmpktliter"/>
      </w:pPr>
      <w:r>
        <w:t>„7)</w:t>
      </w:r>
      <w:r>
        <w:tab/>
        <w:t xml:space="preserve">ilość energii elektrycznej z wysokosprawnej kogeneracji, w podziale na kolejne następujące po sobie lata kalendarzowe, wyrażoną w MWh, jaką wytwórca zobowiązuje się wytworzyć, wprowadzić do sieci i sprzedać z uwzględnieniem art. 29 ust. 2, lub w przypadku wytwórców energii </w:t>
      </w:r>
      <w:r>
        <w:lastRenderedPageBreak/>
        <w:t>elektrycznej z wysokosprawnej kogeneracji w jednostkach kogeneracji, o których mowa w art. 5 ust. 1 pkt 3 lub art. 5 ust. 7 i 8, wyłącznie wytworzyć tę energię.”,</w:t>
      </w:r>
    </w:p>
    <w:p w14:paraId="6644F03B" w14:textId="77777777" w:rsidR="00FF04D8" w:rsidRDefault="006E09BA">
      <w:pPr>
        <w:pStyle w:val="LITlitera"/>
      </w:pPr>
      <w:r>
        <w:t>b)</w:t>
      </w:r>
      <w:r>
        <w:tab/>
        <w:t>ust. 7 otrzymuje brzmienie:</w:t>
      </w:r>
    </w:p>
    <w:p w14:paraId="6644F03C" w14:textId="77777777" w:rsidR="00FF04D8" w:rsidRDefault="006E09BA">
      <w:pPr>
        <w:pStyle w:val="ZLITUSTzmustliter"/>
      </w:pPr>
      <w:r>
        <w:t>„7. W przypadku, gdy wniosek, o którym mowa w ust. 1, nie zawiera wszystkich wymaganych danych lub nie dołączono do niego wszystkich dokumentów, o których mowa w ust. 3, Prezes URE wzywa wnioskodawcę do uzupełnienia wniosku w terminie 7 dni od dnia doręczenia wezwania. Nieuzupełnienie wniosku w wyznaczonym terminie skutkuje pozostawieniem wniosku bez rozpatrzenia.”;</w:t>
      </w:r>
    </w:p>
    <w:p w14:paraId="6644F03D" w14:textId="77777777" w:rsidR="00FF04D8" w:rsidRDefault="006E09BA">
      <w:pPr>
        <w:pStyle w:val="PKTpunkt"/>
      </w:pPr>
      <w:r>
        <w:t>8)</w:t>
      </w:r>
      <w:r>
        <w:tab/>
        <w:t xml:space="preserve">w art. 43 </w:t>
      </w:r>
    </w:p>
    <w:p w14:paraId="6644F03E" w14:textId="77777777" w:rsidR="00FF04D8" w:rsidRDefault="7E996210">
      <w:pPr>
        <w:pStyle w:val="LITlitera"/>
      </w:pPr>
      <w:r>
        <w:t>a)</w:t>
      </w:r>
      <w:r w:rsidR="006E09BA">
        <w:tab/>
      </w:r>
      <w:r>
        <w:t>w ust. 1 skreśla się wyrazy: „, organizuje i przeprowadza”,</w:t>
      </w:r>
    </w:p>
    <w:p w14:paraId="6644F03F" w14:textId="77777777" w:rsidR="00FF04D8" w:rsidRDefault="006E09BA">
      <w:pPr>
        <w:pStyle w:val="LITlitera"/>
      </w:pPr>
      <w:r>
        <w:t>b)</w:t>
      </w:r>
      <w:r>
        <w:tab/>
        <w:t>ust. 2 otrzymuje brzmienie:</w:t>
      </w:r>
    </w:p>
    <w:p w14:paraId="6644F040" w14:textId="77777777" w:rsidR="00FF04D8" w:rsidRDefault="006E09BA">
      <w:pPr>
        <w:pStyle w:val="ZLITUSTzmustliter"/>
      </w:pPr>
      <w:r>
        <w:t>„2. Przedmiotem naboru jest premia kogeneracyjna indywidualna za sprzedaż energii elektrycznej z wysokosprawnej kogeneracji wytworzonej w jednostce kogeneracji, o której mowa w art. 6 ust. 1 pkt 1:</w:t>
      </w:r>
    </w:p>
    <w:p w14:paraId="6644F041" w14:textId="77777777" w:rsidR="00FF04D8" w:rsidRDefault="006E09BA">
      <w:pPr>
        <w:pStyle w:val="ZLITPKTzmpktliter"/>
      </w:pPr>
      <w:r>
        <w:t>1)</w:t>
      </w:r>
      <w:r>
        <w:tab/>
        <w:t>opalanej paliwem, o którym mowa w art. 15 w ust. 7 w pkt 1 – wybudowanej lub znacznie zmodernizowanej w terminie 60 miesięcy od dnia rozstrzygnięcia naboru,</w:t>
      </w:r>
    </w:p>
    <w:p w14:paraId="6644F042" w14:textId="77777777" w:rsidR="00FF04D8" w:rsidRDefault="006E09BA">
      <w:pPr>
        <w:pStyle w:val="ZLITPKTzmpktliter"/>
      </w:pPr>
      <w:r>
        <w:t>2)</w:t>
      </w:r>
      <w:r>
        <w:tab/>
        <w:t>opalanej paliwem, o którym mowa w art. 15 w ust. 7 w pkt 3 i 4 – wybudowanej lub znacznie zmodernizowanej w terminie 72 miesięcy od dnia rozstrzygnięcia naboru</w:t>
      </w:r>
    </w:p>
    <w:p w14:paraId="6644F043" w14:textId="77777777" w:rsidR="00FF04D8" w:rsidRDefault="006E09BA">
      <w:pPr>
        <w:pStyle w:val="ZLITCZWSPLITzmczciwsplitliter"/>
      </w:pPr>
      <w:r>
        <w:t>– która osiągnie jednostkowy wskaźnik emisji dwutlenku węgla na poziomie nie wyższym niż 450 kg na 1 MWh wytwarzanej energii.”;</w:t>
      </w:r>
    </w:p>
    <w:p w14:paraId="6644F044" w14:textId="77777777" w:rsidR="00FF04D8" w:rsidRDefault="006E09BA">
      <w:pPr>
        <w:pStyle w:val="PKTpunkt"/>
      </w:pPr>
      <w:r>
        <w:t>9)</w:t>
      </w:r>
      <w:r>
        <w:tab/>
        <w:t>w art.  44 w ust. 4 uchyla się pkt 4;</w:t>
      </w:r>
    </w:p>
    <w:p w14:paraId="6644F045" w14:textId="77777777" w:rsidR="00FF04D8" w:rsidRDefault="006E09BA">
      <w:pPr>
        <w:pStyle w:val="PKTpunkt"/>
      </w:pPr>
      <w:r>
        <w:t>10)</w:t>
      </w:r>
      <w:r>
        <w:tab/>
        <w:t>w art. 47 w ust. 3:</w:t>
      </w:r>
    </w:p>
    <w:p w14:paraId="6644F046" w14:textId="0DC11BB3" w:rsidR="00FF04D8" w:rsidRDefault="006E09BA">
      <w:pPr>
        <w:pStyle w:val="LITlitera"/>
      </w:pPr>
      <w:r>
        <w:t>a)</w:t>
      </w:r>
      <w:r w:rsidR="734E1273">
        <w:t xml:space="preserve"> </w:t>
      </w:r>
      <w:r>
        <w:tab/>
        <w:t>uchyla się pkt 3,</w:t>
      </w:r>
    </w:p>
    <w:p w14:paraId="0D9F33DC" w14:textId="7E7AD907" w:rsidR="1F9CB659" w:rsidRDefault="1F9CB659" w:rsidP="4E692BF5">
      <w:pPr>
        <w:pStyle w:val="LITlitera"/>
      </w:pPr>
      <w:r>
        <w:t>b)</w:t>
      </w:r>
      <w:r>
        <w:tab/>
        <w:t>po pkt 4 dodaje się pkt 4a w brzmieniu</w:t>
      </w:r>
      <w:r w:rsidR="0302046B">
        <w:t>:</w:t>
      </w:r>
    </w:p>
    <w:p w14:paraId="1D25AF5C" w14:textId="7FC58512" w:rsidR="0302046B" w:rsidRDefault="0302046B" w:rsidP="4E692BF5">
      <w:pPr>
        <w:pStyle w:val="ZLITPKTzmpktliter"/>
        <w:rPr>
          <w:rFonts w:ascii="Times New Roman" w:hAnsi="Times New Roman" w:cs="Times New Roman"/>
          <w:szCs w:val="24"/>
        </w:rPr>
      </w:pPr>
      <w:r>
        <w:t>„</w:t>
      </w:r>
      <w:r w:rsidRPr="00ED5760">
        <w:rPr>
          <w:rFonts w:ascii="Times New Roman" w:hAnsi="Times New Roman" w:cs="Times New Roman"/>
          <w:szCs w:val="24"/>
        </w:rPr>
        <w:t>4a)</w:t>
      </w:r>
      <w:r w:rsidR="003F43E8">
        <w:rPr>
          <w:rFonts w:ascii="Times New Roman" w:hAnsi="Times New Roman" w:cs="Times New Roman"/>
          <w:szCs w:val="24"/>
        </w:rPr>
        <w:tab/>
      </w:r>
      <w:r w:rsidRPr="00ED5760">
        <w:rPr>
          <w:rFonts w:ascii="Times New Roman" w:hAnsi="Times New Roman" w:cs="Times New Roman"/>
          <w:szCs w:val="24"/>
        </w:rPr>
        <w:t>wskazanie planowanej daty rozpoczęcia okresu, w którym wytwórca w przypadku wygrania naboru, będzie korzystać z systemu wsparcia, o którym mowa w rozdziale 5</w:t>
      </w:r>
      <w:r w:rsidR="089D8571" w:rsidRPr="4E692BF5">
        <w:rPr>
          <w:rFonts w:ascii="Times New Roman" w:hAnsi="Times New Roman" w:cs="Times New Roman"/>
          <w:szCs w:val="24"/>
        </w:rPr>
        <w:t>;”,</w:t>
      </w:r>
    </w:p>
    <w:p w14:paraId="6644F047" w14:textId="109D5873" w:rsidR="00FF04D8" w:rsidRDefault="0E96CEEC">
      <w:pPr>
        <w:pStyle w:val="LITlitera"/>
      </w:pPr>
      <w:r>
        <w:t>c</w:t>
      </w:r>
      <w:r w:rsidR="006E09BA">
        <w:t>)</w:t>
      </w:r>
      <w:r w:rsidR="006E09BA">
        <w:tab/>
        <w:t>pkt 9 otrzymuje brzmienie:</w:t>
      </w:r>
    </w:p>
    <w:p w14:paraId="6644F048" w14:textId="77777777" w:rsidR="00FF04D8" w:rsidRDefault="006E09BA">
      <w:pPr>
        <w:pStyle w:val="ZLITPKTzmpktliter"/>
      </w:pPr>
      <w:r>
        <w:lastRenderedPageBreak/>
        <w:t>„9)</w:t>
      </w:r>
      <w:r>
        <w:tab/>
        <w:t xml:space="preserve">zobowiązanie uczestnika naboru do wytworzenia po raz pierwszy energii elektrycznej w nowej jednostce kogeneracji lub znacznie zmodernizowanej jednostce kogeneracji: </w:t>
      </w:r>
    </w:p>
    <w:p w14:paraId="6644F049" w14:textId="77777777" w:rsidR="00FF04D8" w:rsidRDefault="006E09BA">
      <w:pPr>
        <w:pStyle w:val="ZLITLITwPKTzmlitwpktliter"/>
      </w:pPr>
      <w:r>
        <w:t>a)</w:t>
      </w:r>
      <w:r>
        <w:tab/>
        <w:t>w terminie 60 miesięcy od dnia rozstrzygnięcia naboru – w przypadku wytwórców energii elektrycznej w wysokosprawnej kogeneracji w jednostkach kogeneracji opalanych paliwem, o którym mowa w art. 15 w ust. 7 w pkt 1,</w:t>
      </w:r>
    </w:p>
    <w:p w14:paraId="6644F04A" w14:textId="77777777" w:rsidR="00FF04D8" w:rsidRDefault="006E09BA">
      <w:pPr>
        <w:pStyle w:val="ZLITLITwPKTzmlitwpktliter"/>
      </w:pPr>
      <w:r>
        <w:t>b)</w:t>
      </w:r>
      <w:r>
        <w:tab/>
        <w:t>w terminie 72 miesięcy od dnia rozstrzygnięcia naboru – w przypadku wytwórców energii elektrycznej w wysokosprawnej kogeneracji w jednostkach kogeneracji opalanych paliwem, o którym mowa w art. 15 wust. 7 w pkt 3 i 4;”,</w:t>
      </w:r>
    </w:p>
    <w:p w14:paraId="6644F04B" w14:textId="7F56F94F" w:rsidR="00FF04D8" w:rsidRDefault="62CD7AA2">
      <w:pPr>
        <w:pStyle w:val="LITlitera"/>
      </w:pPr>
      <w:r>
        <w:t>d</w:t>
      </w:r>
      <w:r w:rsidR="006E09BA">
        <w:t>)</w:t>
      </w:r>
      <w:r w:rsidR="006E09BA">
        <w:tab/>
        <w:t>pkt 13 otrzymuje brzmienie:</w:t>
      </w:r>
    </w:p>
    <w:p w14:paraId="6644F04C" w14:textId="7F7C20E6" w:rsidR="00FF04D8" w:rsidRDefault="006E09BA">
      <w:pPr>
        <w:pStyle w:val="ZLITPKTzmpktliter"/>
      </w:pPr>
      <w:r>
        <w:t>„13)</w:t>
      </w:r>
      <w:r>
        <w:tab/>
        <w:t>określenie wielkości planowanych kosztów inwestycyjnych znacznej modernizacji w stosunku do wielkości kosztów inwestycyjnych nowej porównywalnej jednostki kogeneracji, określonych w przepisach wydanych na podstawie art. 59 ust. 3;”</w:t>
      </w:r>
      <w:r w:rsidR="35C4A7DC">
        <w:t>,</w:t>
      </w:r>
    </w:p>
    <w:p w14:paraId="6644F04D" w14:textId="77777777" w:rsidR="00FF04D8" w:rsidRDefault="006E09BA">
      <w:pPr>
        <w:pStyle w:val="PKTpunkt"/>
      </w:pPr>
      <w:r>
        <w:t>11)</w:t>
      </w:r>
      <w:r>
        <w:tab/>
        <w:t>w art. 51:</w:t>
      </w:r>
    </w:p>
    <w:p w14:paraId="6644F04E" w14:textId="77777777" w:rsidR="00FF04D8" w:rsidRDefault="006E09BA">
      <w:pPr>
        <w:pStyle w:val="LITlitera"/>
      </w:pPr>
      <w:r>
        <w:t>a)</w:t>
      </w:r>
      <w:r>
        <w:tab/>
        <w:t>w ust. 1 w pkt 3 wyrazy „12 miesięcy” zastępuje się wyrazami „24 miesiące”,</w:t>
      </w:r>
    </w:p>
    <w:p w14:paraId="6644F04F" w14:textId="77777777" w:rsidR="00FF04D8" w:rsidRDefault="006E09BA">
      <w:pPr>
        <w:pStyle w:val="LITlitera"/>
      </w:pPr>
      <w:r>
        <w:t>b)</w:t>
      </w:r>
      <w:r>
        <w:tab/>
        <w:t>w ust. 2 w pkt 2 wyrazy „12 miesięcy” zastępuje się wyrazami „24 miesięcy”,</w:t>
      </w:r>
    </w:p>
    <w:p w14:paraId="6644F050" w14:textId="77777777" w:rsidR="00FF04D8" w:rsidRDefault="006E09BA">
      <w:pPr>
        <w:pStyle w:val="LITlitera"/>
      </w:pPr>
      <w:r>
        <w:t>c)</w:t>
      </w:r>
      <w:r>
        <w:tab/>
        <w:t>po ust. 3 dodaje się ust. 4–7 w brzmieniu:</w:t>
      </w:r>
    </w:p>
    <w:p w14:paraId="6644F051" w14:textId="77777777" w:rsidR="00FF04D8" w:rsidRDefault="006E09BA">
      <w:pPr>
        <w:pStyle w:val="ZLITUSTzmustliter"/>
      </w:pPr>
      <w:r>
        <w:t>„4. Dopuszczalne jest dokonanie jednokrotnej aktualizacji danych zawartych w ofercie, która wygrała nabór, na etapie pozyskiwania potwierdzenia uprawnienia wytwórcy do wypłaty premii kogeneracyjnej indywidualnej, o którym mowa w ust. 2, w zakresie:</w:t>
      </w:r>
    </w:p>
    <w:p w14:paraId="6644F052" w14:textId="77777777" w:rsidR="00FF04D8" w:rsidRDefault="006E09BA">
      <w:pPr>
        <w:pStyle w:val="ZLITPKTzmpktliter"/>
      </w:pPr>
      <w:r>
        <w:t>1)</w:t>
      </w:r>
      <w:r>
        <w:tab/>
        <w:t xml:space="preserve">planowanej daty rozpoczęcia okresu korzystania z systemu wsparcia, o której mowa w art. 47 ust. 3 pkt 4a, z uwzględnieniem art. 47 ust. 3 pkt 9, lub ilości energii elektrycznej, o której mowa w art. 47 ust. 3 pkt 4, z zastrzeżeniem, że łączna ilość energii, o której mowa w art. 47 ust. 3 pkt 4 oraz długość okresu, o którym mowa w art. 47 ust. 3 pkt 4a, określonych w ofercie nie mogą ulec zmianie; </w:t>
      </w:r>
    </w:p>
    <w:p w14:paraId="6644F053" w14:textId="77777777" w:rsidR="00FF04D8" w:rsidRDefault="006E09BA">
      <w:pPr>
        <w:pStyle w:val="ZLITPKTzmpktliter"/>
      </w:pPr>
      <w:r>
        <w:t>2)</w:t>
      </w:r>
      <w:r>
        <w:tab/>
        <w:t xml:space="preserve">mocy zainstalowanej elektrycznej jednostki kogeneracji, o której mowa w art. 47 ust. 3 pkt 2, z zastrzeżeniem, że łączna zaktualizowana moc tej jednostki nie zmieni pierwotnej kwalifikacji określonej zgodnie z art. 2 </w:t>
      </w:r>
      <w:r>
        <w:lastRenderedPageBreak/>
        <w:t>pkt 14 lit. b, art. 2 pkt 46 lit. b lub art. 6 ust. 1 pkt 1, właściwej dla tej jednostki w dniu złożenia oferty;</w:t>
      </w:r>
    </w:p>
    <w:p w14:paraId="6644F054" w14:textId="77777777" w:rsidR="00FF04D8" w:rsidRDefault="006E09BA">
      <w:pPr>
        <w:pStyle w:val="ZLITPKTzmpktliter"/>
      </w:pPr>
      <w:r>
        <w:t>3)</w:t>
      </w:r>
      <w:r>
        <w:tab/>
        <w:t>rodzaju jednostki kogeneracji, w której będzie wytwarzana energia elektryczna przez uczestnika naboru, z zastrzeżeniem braku możliwości zmiany rodzaju paliwa.</w:t>
      </w:r>
    </w:p>
    <w:p w14:paraId="6644F055" w14:textId="77777777" w:rsidR="00FF04D8" w:rsidRDefault="006E09BA">
      <w:pPr>
        <w:pStyle w:val="ZLITUSTzmustliter"/>
      </w:pPr>
      <w:r>
        <w:t>5. Aktualizacja danych zawartych w ofercie następuje przez złożenie Prezesowi URE wraz z dokumentami, o których mowa w ust. 1, oświadczenia wytwórcy zawierającego informacje o zakresie i treści aktualizacji, o której mowa w ust. 4.</w:t>
      </w:r>
    </w:p>
    <w:p w14:paraId="6644F056" w14:textId="77777777" w:rsidR="00FF04D8" w:rsidRDefault="006E09BA">
      <w:pPr>
        <w:pStyle w:val="ZLITUSTzmustliter"/>
      </w:pPr>
      <w:r>
        <w:t>6. W przypadku, gdy aktualizacja danych zawartych w ofercie dokonana przez wytwórcę nie spełnia warunków określonych w ust. 4, dane nie podlegają aktualizacji.</w:t>
      </w:r>
    </w:p>
    <w:p w14:paraId="6644F057" w14:textId="77777777" w:rsidR="00FF04D8" w:rsidRDefault="006E09BA">
      <w:pPr>
        <w:pStyle w:val="ZLITUSTzmustliter"/>
      </w:pPr>
      <w:r>
        <w:t>7. O dokonaniu aktualizacji danych zawartych w ofercie, zgodnie z ust. 4 i 5 Prezes URE informuje:</w:t>
      </w:r>
    </w:p>
    <w:p w14:paraId="6644F058" w14:textId="77777777" w:rsidR="00FF04D8" w:rsidRDefault="006E09BA">
      <w:pPr>
        <w:pStyle w:val="ZLITPKTzmpktliter"/>
      </w:pPr>
      <w:r>
        <w:t>1)</w:t>
      </w:r>
      <w:r>
        <w:tab/>
        <w:t>wytwórcę wraz z wydaniem decyzji, o której mowa w ust. 2;</w:t>
      </w:r>
    </w:p>
    <w:p w14:paraId="6644F059" w14:textId="77777777" w:rsidR="00FF04D8" w:rsidRDefault="006E09BA">
      <w:pPr>
        <w:pStyle w:val="ZLITPKTzmpktliter"/>
      </w:pPr>
      <w:r>
        <w:t>2)</w:t>
      </w:r>
      <w:r>
        <w:tab/>
        <w:t>operatora rozliczeń – w terminie 14 dni od dnia wydania decyzji, o której mowa w ust. 7 pkt 1.”;</w:t>
      </w:r>
    </w:p>
    <w:p w14:paraId="6644F05A" w14:textId="77777777" w:rsidR="00FF04D8" w:rsidRDefault="006E09BA">
      <w:pPr>
        <w:pStyle w:val="PKTpunkt"/>
      </w:pPr>
      <w:r>
        <w:t>12)</w:t>
      </w:r>
      <w:r>
        <w:tab/>
        <w:t>w art. 69 w ust. 3 wprowadzenie do wyliczenia otrzymuje brzmienie:</w:t>
      </w:r>
    </w:p>
    <w:p w14:paraId="6644F05B" w14:textId="77777777" w:rsidR="00FF04D8" w:rsidRDefault="006E09BA">
      <w:pPr>
        <w:pStyle w:val="ZFRAGzmfragmentunpzdaniaartykuempunktem"/>
      </w:pPr>
      <w:r>
        <w:t>„Operator rozliczeń, w terminie do dnia 30 września każdego roku, przekazuje ministrowi właściwemu do spraw energii informacje o:”;</w:t>
      </w:r>
    </w:p>
    <w:p w14:paraId="6644F05C" w14:textId="77777777" w:rsidR="00FF04D8" w:rsidRDefault="006E09BA">
      <w:pPr>
        <w:pStyle w:val="PKTpunkt"/>
      </w:pPr>
      <w:r>
        <w:t>13)</w:t>
      </w:r>
      <w:r>
        <w:tab/>
        <w:t>uchyla się art. 76;</w:t>
      </w:r>
    </w:p>
    <w:p w14:paraId="6644F05D" w14:textId="77777777" w:rsidR="00FF04D8" w:rsidRDefault="006E09BA">
      <w:pPr>
        <w:pStyle w:val="PKTpunkt"/>
      </w:pPr>
      <w:r>
        <w:t>14)</w:t>
      </w:r>
      <w:r>
        <w:tab/>
        <w:t>w art. 77 ust. 5 otrzymuje brzmienie:</w:t>
      </w:r>
    </w:p>
    <w:p w14:paraId="6644F05E" w14:textId="77777777" w:rsidR="00FF04D8" w:rsidRDefault="006E09BA">
      <w:pPr>
        <w:pStyle w:val="ZUSTzmustartykuempunktem"/>
      </w:pPr>
      <w:r>
        <w:t>„5. Obowiązek złożenia sprawozdania, o którym mowa w ust. 1, nie dotyczy wytwórcy energii elektrycznej w wysokosprawnej kogeneracji, który nie uczestniczy w systemie wsparcia, o którym mowa w rozdziałach 3–5 i 9, oraz wytwórcy, dla którego wysokość premii gwarantowanej indywidualnej w okresie poprzedniego roku kalendarzowego wynosiła 0 złotych za MWh.”;</w:t>
      </w:r>
    </w:p>
    <w:p w14:paraId="6644F05F" w14:textId="77777777" w:rsidR="00FF04D8" w:rsidRDefault="006E09BA">
      <w:pPr>
        <w:pStyle w:val="PKTpunkt"/>
      </w:pPr>
      <w:r>
        <w:t>15)</w:t>
      </w:r>
      <w:r>
        <w:tab/>
        <w:t>w art. 87 w ust. 1 uchyla się pkt 3.</w:t>
      </w:r>
    </w:p>
    <w:p w14:paraId="6E4D063C" w14:textId="77777777" w:rsidR="00347CF0" w:rsidRPr="005268EF" w:rsidRDefault="00347CF0" w:rsidP="00347CF0">
      <w:pPr>
        <w:pStyle w:val="ARTartustawynprozporzdzenia"/>
      </w:pPr>
      <w:bookmarkStart w:id="1" w:name="_Hlk215055031"/>
      <w:r w:rsidRPr="005268EF">
        <w:rPr>
          <w:rStyle w:val="Ppogrubienie"/>
        </w:rPr>
        <w:t xml:space="preserve">Art. </w:t>
      </w:r>
      <w:r>
        <w:rPr>
          <w:rStyle w:val="Ppogrubienie"/>
        </w:rPr>
        <w:t>4</w:t>
      </w:r>
      <w:r w:rsidRPr="005268EF">
        <w:rPr>
          <w:rStyle w:val="Ppogrubienie"/>
        </w:rPr>
        <w:t>.</w:t>
      </w:r>
      <w:r w:rsidRPr="005268EF">
        <w:t xml:space="preserve"> </w:t>
      </w:r>
      <w:r w:rsidRPr="00AF3B9A">
        <w:t xml:space="preserve">1. Korespondencja z odbiorcą, o którym mowa w art. 3 pkt 13 ustawy zmienianej w art. </w:t>
      </w:r>
      <w:r>
        <w:t>1</w:t>
      </w:r>
      <w:r w:rsidRPr="00AF3B9A">
        <w:t xml:space="preserve">, zwanym dalej „odbiorcą”, który miał zawartą umowę z przedsiębiorstwem energetycznym, o którym mowa w art. 3 pkt 12 ustawy zmienianej w art. </w:t>
      </w:r>
      <w:r>
        <w:t>1</w:t>
      </w:r>
      <w:r w:rsidRPr="00AF3B9A">
        <w:t>, zwanym dalej „przedsiębiorstwem energetycznym”, przed dniem wejścia w życie niniejszej ustawy i która była prowadzona z tym odbiorcą w postaci papierowej, odbywa się na dotychczasowych zasadach.</w:t>
      </w:r>
    </w:p>
    <w:p w14:paraId="1BF52F26" w14:textId="77777777" w:rsidR="00347CF0" w:rsidRPr="005268EF" w:rsidRDefault="00347CF0" w:rsidP="00347CF0">
      <w:pPr>
        <w:pStyle w:val="USTustnpkodeksu"/>
      </w:pPr>
      <w:r w:rsidRPr="005268EF">
        <w:lastRenderedPageBreak/>
        <w:t>2. Przedsiębiorstwo energetyczne poucza odbiorcę</w:t>
      </w:r>
      <w:r>
        <w:t xml:space="preserve"> </w:t>
      </w:r>
      <w:r w:rsidRPr="005268EF">
        <w:t xml:space="preserve">o możliwości udzielenia </w:t>
      </w:r>
      <w:r>
        <w:t xml:space="preserve">przez niego </w:t>
      </w:r>
      <w:r w:rsidRPr="005268EF">
        <w:t>zgody na prowadzenie korespondencji za pomocą środków komunikacji elektronicznej w rozumieniu art. 2 pkt 5 ustawy z dnia 18 lipca 2002 r. o świadczeniu usług drogą elektroniczną (Dz. U. z 2024 r. poz. 1513) lub w dedykowanym do obsługi odbiorców portalu internetowym, wraz z pierwszą korespondencją kierowaną do tego odbiorcy po dniu wejścia w życie niniejszej ustawy.</w:t>
      </w:r>
    </w:p>
    <w:p w14:paraId="281E8851" w14:textId="77777777" w:rsidR="00347CF0" w:rsidRPr="005268EF" w:rsidRDefault="00347CF0" w:rsidP="00347CF0">
      <w:pPr>
        <w:pStyle w:val="USTustnpkodeksu"/>
      </w:pPr>
      <w:r w:rsidRPr="005268EF">
        <w:t>3. Do pouczenia, o którym mowa w ust. 2, przedsiębiorstwo energetyczne dołącza formularz, który zawiera:</w:t>
      </w:r>
    </w:p>
    <w:p w14:paraId="36605827" w14:textId="77777777" w:rsidR="00347CF0" w:rsidRPr="005268EF" w:rsidRDefault="00347CF0" w:rsidP="00347CF0">
      <w:pPr>
        <w:pStyle w:val="PKTpunkt"/>
      </w:pPr>
      <w:r w:rsidRPr="005268EF">
        <w:t>1)</w:t>
      </w:r>
      <w:r w:rsidRPr="005268EF">
        <w:tab/>
        <w:t>dane odbiorcy:</w:t>
      </w:r>
    </w:p>
    <w:p w14:paraId="2922AA02" w14:textId="77777777" w:rsidR="00347CF0" w:rsidRPr="005268EF" w:rsidRDefault="00347CF0" w:rsidP="00347CF0">
      <w:pPr>
        <w:pStyle w:val="LITlitera"/>
      </w:pPr>
      <w:r w:rsidRPr="005268EF">
        <w:t>a)</w:t>
      </w:r>
      <w:r w:rsidRPr="005268EF">
        <w:tab/>
        <w:t>imię (imiona) i nazwisko,</w:t>
      </w:r>
    </w:p>
    <w:p w14:paraId="31E0E066" w14:textId="77777777" w:rsidR="00347CF0" w:rsidRPr="005268EF" w:rsidRDefault="00347CF0" w:rsidP="00347CF0">
      <w:pPr>
        <w:pStyle w:val="LITlitera"/>
      </w:pPr>
      <w:r w:rsidRPr="005268EF">
        <w:t>b)</w:t>
      </w:r>
      <w:r w:rsidRPr="005268EF">
        <w:tab/>
        <w:t>miejsce dostarczania paliw gazowych, energii elektrycznej lub ciepła przez przedsiębiorstwo energetyczne,</w:t>
      </w:r>
    </w:p>
    <w:p w14:paraId="1B0D8272" w14:textId="77777777" w:rsidR="00347CF0" w:rsidRPr="005268EF" w:rsidRDefault="00347CF0" w:rsidP="00347CF0">
      <w:pPr>
        <w:pStyle w:val="LITlitera"/>
      </w:pPr>
      <w:r w:rsidRPr="005268EF">
        <w:t>c)</w:t>
      </w:r>
      <w:r w:rsidRPr="005268EF">
        <w:tab/>
        <w:t>numer umowy odbiorcy zawartej z przedsiębiorstwem energetycznym,</w:t>
      </w:r>
    </w:p>
    <w:p w14:paraId="70521DA3" w14:textId="77777777" w:rsidR="00347CF0" w:rsidRPr="005268EF" w:rsidRDefault="00347CF0" w:rsidP="00347CF0">
      <w:pPr>
        <w:pStyle w:val="LITlitera"/>
      </w:pPr>
      <w:r w:rsidRPr="005268EF">
        <w:t>d)</w:t>
      </w:r>
      <w:r w:rsidRPr="005268EF">
        <w:tab/>
        <w:t>numer klienta, jeżeli został nadany,</w:t>
      </w:r>
    </w:p>
    <w:p w14:paraId="1947E855" w14:textId="77777777" w:rsidR="00347CF0" w:rsidRPr="005268EF" w:rsidRDefault="00347CF0" w:rsidP="00347CF0">
      <w:pPr>
        <w:pStyle w:val="LITlitera"/>
      </w:pPr>
      <w:r w:rsidRPr="005268EF">
        <w:t>e)</w:t>
      </w:r>
      <w:r w:rsidRPr="005268EF">
        <w:tab/>
        <w:t>adres poczty elektronicznej,</w:t>
      </w:r>
    </w:p>
    <w:p w14:paraId="76A8D0EE" w14:textId="77777777" w:rsidR="00347CF0" w:rsidRPr="005268EF" w:rsidRDefault="00347CF0" w:rsidP="00347CF0">
      <w:pPr>
        <w:pStyle w:val="LITlitera"/>
      </w:pPr>
      <w:r w:rsidRPr="005268EF">
        <w:t>f)</w:t>
      </w:r>
      <w:r w:rsidRPr="005268EF">
        <w:tab/>
        <w:t>numer telefonu, jeżeli odbiorca wyraża na to zgodę;</w:t>
      </w:r>
    </w:p>
    <w:p w14:paraId="45642250" w14:textId="77777777" w:rsidR="00347CF0" w:rsidRPr="005268EF" w:rsidRDefault="00347CF0" w:rsidP="00347CF0">
      <w:pPr>
        <w:pStyle w:val="PKTpunkt"/>
      </w:pPr>
      <w:r w:rsidRPr="005268EF">
        <w:t>2)</w:t>
      </w:r>
      <w:r w:rsidRPr="005268EF">
        <w:tab/>
        <w:t>listę oferowanych przez przedsiębiorstwo energetyczne sposobów komunikowania się z odbiorcą, zawierającą wskazanie rodzajów dostępnych środków komunikacji elektronicznej oraz informację o dedykowanym do obsługi odbiorców portalu internetowym, jeżeli przedsiębiorstwo energetyczne taki portal posiada.</w:t>
      </w:r>
    </w:p>
    <w:p w14:paraId="4076469D" w14:textId="612B73E3" w:rsidR="00347CF0" w:rsidRPr="00347CF0" w:rsidRDefault="00347CF0" w:rsidP="007716FD">
      <w:pPr>
        <w:pStyle w:val="USTustnpkodeksu"/>
        <w:rPr>
          <w:rStyle w:val="Ppogrubienie"/>
          <w:b w:val="0"/>
          <w:bCs w:val="0"/>
        </w:rPr>
      </w:pPr>
      <w:r w:rsidRPr="005268EF">
        <w:t>4. Odbiorca</w:t>
      </w:r>
      <w:r>
        <w:t xml:space="preserve"> </w:t>
      </w:r>
      <w:r w:rsidRPr="005268EF">
        <w:t>udzielając zgody przedsiębiorstwu energetycznemu, przekazuje wypełniony formularz, o którym mowa w ust. 3.</w:t>
      </w:r>
      <w:bookmarkEnd w:id="1"/>
    </w:p>
    <w:p w14:paraId="6644F060" w14:textId="3089AA26" w:rsidR="00FF04D8" w:rsidRDefault="006E09BA">
      <w:pPr>
        <w:pStyle w:val="ARTartustawynprozporzdzenia"/>
      </w:pPr>
      <w:r>
        <w:rPr>
          <w:rStyle w:val="Ppogrubienie"/>
        </w:rPr>
        <w:t xml:space="preserve">Art. </w:t>
      </w:r>
      <w:r w:rsidR="00347CF0">
        <w:rPr>
          <w:rStyle w:val="Ppogrubienie"/>
        </w:rPr>
        <w:t>5</w:t>
      </w:r>
      <w:r>
        <w:rPr>
          <w:rStyle w:val="Ppogrubienie"/>
        </w:rPr>
        <w:t>.</w:t>
      </w:r>
      <w:r>
        <w:t xml:space="preserve"> Podsumowanie informacji, o którym mowa w art. 5 ust. 6i ustawy zmienianej w art. 1, dołącza się po raz pierwszy do pierwszej faktury wystawionej po dniu 1 stycznia 2026 r.</w:t>
      </w:r>
    </w:p>
    <w:p w14:paraId="6644F061" w14:textId="2C514FE5" w:rsidR="00FF04D8" w:rsidRDefault="006E09BA">
      <w:pPr>
        <w:pStyle w:val="ARTartustawynprozporzdzenia"/>
      </w:pPr>
      <w:r>
        <w:rPr>
          <w:rStyle w:val="Ppogrubienie"/>
        </w:rPr>
        <w:t xml:space="preserve">Art. </w:t>
      </w:r>
      <w:r w:rsidR="00347CF0">
        <w:rPr>
          <w:rStyle w:val="Ppogrubienie"/>
        </w:rPr>
        <w:t>6</w:t>
      </w:r>
      <w:r>
        <w:rPr>
          <w:rStyle w:val="Ppogrubienie"/>
        </w:rPr>
        <w:t xml:space="preserve">. </w:t>
      </w:r>
      <w:r>
        <w:t>Przepis art. 32 ust. 4a ustawy zmienianej w art. 1 znajduje zastosowanie do źródeł wytwarzających ciepło, które zostały oddane do użytkowania po wejściu w życie niniejszej ustawy.</w:t>
      </w:r>
    </w:p>
    <w:p w14:paraId="6644F062" w14:textId="4672C0BC" w:rsidR="00FF04D8" w:rsidRDefault="006E09BA">
      <w:pPr>
        <w:pStyle w:val="ARTartustawynprozporzdzenia"/>
      </w:pPr>
      <w:r w:rsidRPr="5FC9A643">
        <w:rPr>
          <w:rStyle w:val="Ppogrubienie"/>
        </w:rPr>
        <w:t xml:space="preserve">Art. </w:t>
      </w:r>
      <w:r w:rsidR="00347CF0">
        <w:rPr>
          <w:rStyle w:val="Ppogrubienie"/>
        </w:rPr>
        <w:t>7</w:t>
      </w:r>
      <w:r w:rsidRPr="5FC9A643">
        <w:rPr>
          <w:rStyle w:val="Ppogrubienie"/>
        </w:rPr>
        <w:t xml:space="preserve">. </w:t>
      </w:r>
      <w:r>
        <w:t>Dotychczasowe przepisy wykonawcze wydane na podstawie art. 46 ust. 5 i 6 ustawy zmienianej w art. 1, zachowują moc do dnia wejścia w życie nowych przepisów wykonawczych wydanych na podstawie art. 46 ust. 5 i 6 ustawy zmienianej w art. 1, w brzmieniu nadanym niniejszą ustawą, jednak nie dłużej niż 12 miesięcy od dnia wejścia w życie niniejszej ustawy i mogą być zmieniane w granicach określonych w art. 46 ust. 5 i 6 ustawy zmienianej w art. 1</w:t>
      </w:r>
      <w:r w:rsidR="00387E31">
        <w:t>,</w:t>
      </w:r>
      <w:r w:rsidR="3D1BCE1C">
        <w:t xml:space="preserve"> w brzmieniu dotychczasowym</w:t>
      </w:r>
      <w:r>
        <w:t>.</w:t>
      </w:r>
    </w:p>
    <w:p w14:paraId="6644F063" w14:textId="3B58BD25" w:rsidR="00FF04D8" w:rsidRDefault="006E09BA">
      <w:pPr>
        <w:pStyle w:val="ARTartustawynprozporzdzenia"/>
      </w:pPr>
      <w:r>
        <w:rPr>
          <w:rStyle w:val="Ppogrubienie"/>
        </w:rPr>
        <w:lastRenderedPageBreak/>
        <w:t xml:space="preserve">Art. </w:t>
      </w:r>
      <w:r w:rsidR="00347CF0">
        <w:rPr>
          <w:rStyle w:val="Ppogrubienie"/>
        </w:rPr>
        <w:t>8</w:t>
      </w:r>
      <w:r>
        <w:rPr>
          <w:rStyle w:val="Ppogrubienie"/>
        </w:rPr>
        <w:t>.</w:t>
      </w:r>
      <w:r>
        <w:t xml:space="preserve"> Operator systemu przesyłowego elektroenergetycznego po raz pierwszy udostępnia informację, o której mowa w art. 116 ust. 1d ustawy zmienianej w art. 2, za rok poprzedzający rok wejścia w życie niniejszej ustawy w terminie 30 dni od dnia wejścia w życie niniejszej ustawy.</w:t>
      </w:r>
    </w:p>
    <w:p w14:paraId="6644F064" w14:textId="565D0DE8" w:rsidR="00FF04D8" w:rsidRDefault="006E09BA">
      <w:pPr>
        <w:pStyle w:val="ARTartustawynprozporzdzenia"/>
      </w:pPr>
      <w:r>
        <w:rPr>
          <w:rStyle w:val="Ppogrubienie"/>
        </w:rPr>
        <w:t xml:space="preserve">Art. </w:t>
      </w:r>
      <w:r w:rsidR="00347CF0">
        <w:rPr>
          <w:rStyle w:val="Ppogrubienie"/>
        </w:rPr>
        <w:t>9</w:t>
      </w:r>
      <w:r>
        <w:rPr>
          <w:rStyle w:val="Ppogrubienie"/>
        </w:rPr>
        <w:t>.</w:t>
      </w:r>
      <w:r>
        <w:t xml:space="preserve"> Do postępowań wszczętych na wniosek, o którym mowa w art. 30 ust. 1 ustawy zmienianej w art. 3, i niezakończonych przed dniem wejścia w życie niniejszej ustawy, stosuje się przepis art. 5 ust. 1a ustawy zmienianej w art. 3, w brzmieniu nadanym niniejszą ustawą.</w:t>
      </w:r>
    </w:p>
    <w:p w14:paraId="6644F065" w14:textId="4AEB5279" w:rsidR="00FF04D8" w:rsidRDefault="006E09BA">
      <w:pPr>
        <w:pStyle w:val="ARTartustawynprozporzdzenia"/>
      </w:pPr>
      <w:r>
        <w:rPr>
          <w:rStyle w:val="Ppogrubienie"/>
        </w:rPr>
        <w:t xml:space="preserve">Art. </w:t>
      </w:r>
      <w:r w:rsidR="00347CF0">
        <w:rPr>
          <w:rStyle w:val="Ppogrubienie"/>
        </w:rPr>
        <w:t>10</w:t>
      </w:r>
      <w:r>
        <w:rPr>
          <w:rStyle w:val="Ppogrubienie"/>
        </w:rPr>
        <w:t>.</w:t>
      </w:r>
      <w:r>
        <w:t xml:space="preserve"> Przepisy art. 16 ust. 3, art. 21 ust. 3 pkt 3a i pkt 7 lit. b ustawy zmienianej w art. 3, w brzmieniu nadanym niniejszą ustawą, stosuje się do aukcji ogłaszanych po dniu wejścia w życie niniejszej ustawy.</w:t>
      </w:r>
    </w:p>
    <w:p w14:paraId="6644F066" w14:textId="40C7D9F4" w:rsidR="00FF04D8" w:rsidRDefault="006E09BA">
      <w:pPr>
        <w:pStyle w:val="ARTartustawynprozporzdzenia"/>
      </w:pPr>
      <w:r>
        <w:rPr>
          <w:rStyle w:val="Ppogrubienie"/>
        </w:rPr>
        <w:t>Art. 1</w:t>
      </w:r>
      <w:r w:rsidR="00347CF0">
        <w:rPr>
          <w:rStyle w:val="Ppogrubienie"/>
        </w:rPr>
        <w:t>1</w:t>
      </w:r>
      <w:r>
        <w:rPr>
          <w:rStyle w:val="Ppogrubienie"/>
        </w:rPr>
        <w:t xml:space="preserve">. </w:t>
      </w:r>
      <w:r>
        <w:t>Przepisy art. 27 ust. 1 pkt 3 i ust. 2 pkt 2 ustawy zmienianej w art. 3, w brzmieniu nadanym niniejszą ustawą, stosuje się do aukcji rozstrzyganych po dniu wejścia w życie niniejszej ustawy.</w:t>
      </w:r>
    </w:p>
    <w:p w14:paraId="6644F067" w14:textId="4E0131FE" w:rsidR="00FF04D8" w:rsidRDefault="006E09BA">
      <w:pPr>
        <w:pStyle w:val="ARTartustawynprozporzdzenia"/>
      </w:pPr>
      <w:r>
        <w:rPr>
          <w:rStyle w:val="Ppogrubienie"/>
        </w:rPr>
        <w:t>Art. 1</w:t>
      </w:r>
      <w:r w:rsidR="00347CF0">
        <w:rPr>
          <w:rStyle w:val="Ppogrubienie"/>
        </w:rPr>
        <w:t>2</w:t>
      </w:r>
      <w:r>
        <w:rPr>
          <w:rStyle w:val="Ppogrubienie"/>
        </w:rPr>
        <w:t xml:space="preserve">. </w:t>
      </w:r>
      <w:r>
        <w:t>Przepisy art. 43 ust. 2, 47 ust. 3 pkt 9, art. 51 ust. 1 pkt 3 i ust. 2 pkt 2 ustawy zmienianej w art. 3, w brzmieniu nadanym niniejszą ustawą, stosuje się do naborów ogłaszanych po dniu wejścia w życie niniejszej ustawy.</w:t>
      </w:r>
    </w:p>
    <w:p w14:paraId="6644F068" w14:textId="1EE7BAA3" w:rsidR="00FF04D8" w:rsidRDefault="7E996210">
      <w:pPr>
        <w:pStyle w:val="ARTartustawynprozporzdzenia"/>
      </w:pPr>
      <w:r w:rsidRPr="6F893596">
        <w:rPr>
          <w:rStyle w:val="Ppogrubienie"/>
        </w:rPr>
        <w:t>Art. 1</w:t>
      </w:r>
      <w:r w:rsidR="00347CF0">
        <w:rPr>
          <w:rStyle w:val="Ppogrubienie"/>
        </w:rPr>
        <w:t>3</w:t>
      </w:r>
      <w:r w:rsidRPr="6F893596">
        <w:rPr>
          <w:rStyle w:val="Ppogrubienie"/>
        </w:rPr>
        <w:t>.</w:t>
      </w:r>
      <w:r>
        <w:t xml:space="preserve"> Przepis o dopuszczalnej jednokrotnej aktualizacji danych zawartych w ofercie, o których mowa w art. 51 ust. 4–7 ustawy zmienianej w art. </w:t>
      </w:r>
      <w:r w:rsidR="27FC144D">
        <w:t>3</w:t>
      </w:r>
      <w:r>
        <w:t>, stosuje się do ofert, które wygrały nabór po dniu wejścia w życie niniejszej ustawy.</w:t>
      </w:r>
    </w:p>
    <w:p w14:paraId="6644F069" w14:textId="3AEFBF21" w:rsidR="00FF04D8" w:rsidRDefault="006E09BA">
      <w:pPr>
        <w:pStyle w:val="ARTartustawynprozporzdzenia"/>
      </w:pPr>
      <w:r>
        <w:rPr>
          <w:rStyle w:val="Ppogrubienie"/>
        </w:rPr>
        <w:t>Art. 1</w:t>
      </w:r>
      <w:r w:rsidR="00347CF0">
        <w:rPr>
          <w:rStyle w:val="Ppogrubienie"/>
        </w:rPr>
        <w:t>4</w:t>
      </w:r>
      <w:r>
        <w:rPr>
          <w:rStyle w:val="Ppogrubienie"/>
        </w:rPr>
        <w:t>.</w:t>
      </w:r>
      <w:r>
        <w:t xml:space="preserve"> </w:t>
      </w:r>
      <w:bookmarkEnd w:id="0"/>
      <w:r>
        <w:t>Ustawa wchodzi w życie po upływie 14 dni od dnia ogłoszenia, z wyjątkiem:</w:t>
      </w:r>
    </w:p>
    <w:p w14:paraId="6644F06A" w14:textId="36A6B1E8" w:rsidR="00FF04D8" w:rsidRDefault="006E09BA">
      <w:pPr>
        <w:pStyle w:val="PKTpunkt"/>
      </w:pPr>
      <w:r>
        <w:t>1)</w:t>
      </w:r>
      <w:r>
        <w:tab/>
        <w:t>art. 1 pkt 2</w:t>
      </w:r>
      <w:r w:rsidR="00883D65">
        <w:t xml:space="preserve"> -</w:t>
      </w:r>
      <w:r>
        <w:t xml:space="preserve"> 3 i </w:t>
      </w:r>
      <w:r w:rsidR="00883D65">
        <w:t>art. 4</w:t>
      </w:r>
      <w:r>
        <w:t>, które wchodzą w życie z dniem 30 czerwca 2027 r.;</w:t>
      </w:r>
    </w:p>
    <w:p w14:paraId="6644F06B" w14:textId="2ADADA6C" w:rsidR="00FF04D8" w:rsidRDefault="006E09BA">
      <w:pPr>
        <w:pStyle w:val="PKTpunkt"/>
      </w:pPr>
      <w:r>
        <w:t>2)</w:t>
      </w:r>
      <w:r>
        <w:tab/>
        <w:t xml:space="preserve">art. 1 pkt </w:t>
      </w:r>
      <w:r w:rsidR="004879D2">
        <w:t>8</w:t>
      </w:r>
      <w:r>
        <w:t>–</w:t>
      </w:r>
      <w:r w:rsidR="004879D2">
        <w:t>10</w:t>
      </w:r>
      <w:r>
        <w:t>, które wchodzą w życie po upływie 12 miesięcy od dnia ogłoszenia.</w:t>
      </w:r>
    </w:p>
    <w:p w14:paraId="5853182B" w14:textId="77777777" w:rsidR="0057529D" w:rsidRDefault="0057529D"/>
    <w:p w14:paraId="29D3F008" w14:textId="77777777" w:rsidR="0057529D" w:rsidRPr="00146C64" w:rsidRDefault="0057529D" w:rsidP="0057529D">
      <w:pPr>
        <w:pStyle w:val="OZNPARAFYADNOTACJE"/>
        <w:jc w:val="left"/>
      </w:pPr>
      <w:r w:rsidRPr="00146C64">
        <w:t>Za zgodność pod względem prawnym, legislacyjnym i redakcyjnym</w:t>
      </w:r>
    </w:p>
    <w:p w14:paraId="42AC26DE" w14:textId="65567D24" w:rsidR="0057529D" w:rsidRPr="00146C64" w:rsidRDefault="0057529D" w:rsidP="0057529D">
      <w:pPr>
        <w:pStyle w:val="OZNPARAFYADNOTACJE"/>
        <w:jc w:val="left"/>
      </w:pPr>
      <w:r>
        <w:t>Tomasz Dąbrowski</w:t>
      </w:r>
    </w:p>
    <w:p w14:paraId="615BE2D2" w14:textId="6EFBB47D" w:rsidR="0057529D" w:rsidRPr="00146C64" w:rsidRDefault="0057529D" w:rsidP="0057529D">
      <w:pPr>
        <w:pStyle w:val="OZNPARAFYADNOTACJE"/>
        <w:jc w:val="left"/>
      </w:pPr>
      <w:r>
        <w:t xml:space="preserve">Zastępca </w:t>
      </w:r>
      <w:r w:rsidRPr="00146C64">
        <w:t>Dyrektor</w:t>
      </w:r>
      <w:r>
        <w:t>a</w:t>
      </w:r>
      <w:r w:rsidRPr="00146C64">
        <w:t xml:space="preserve"> Departamentu Prawnego w Ministerstwie Energii</w:t>
      </w:r>
    </w:p>
    <w:p w14:paraId="687DC2C8" w14:textId="589C0465" w:rsidR="0057529D" w:rsidRDefault="0057529D" w:rsidP="0057529D">
      <w:pPr>
        <w:pStyle w:val="OZNPARAFYADNOTACJE"/>
        <w:jc w:val="left"/>
      </w:pPr>
      <w:r w:rsidRPr="00146C64">
        <w:t>/podpisano kwalifikowanym podpisem elektronicznym/</w:t>
      </w:r>
    </w:p>
    <w:sectPr w:rsidR="0057529D">
      <w:headerReference w:type="default" r:id="rId10"/>
      <w:pgSz w:w="11906" w:h="16838"/>
      <w:pgMar w:top="1134" w:right="170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4096" w14:textId="77777777" w:rsidR="00142FB2" w:rsidRDefault="00142FB2">
      <w:pPr>
        <w:spacing w:before="0" w:line="240" w:lineRule="auto"/>
      </w:pPr>
      <w:r>
        <w:separator/>
      </w:r>
    </w:p>
  </w:endnote>
  <w:endnote w:type="continuationSeparator" w:id="0">
    <w:p w14:paraId="0A45D62D" w14:textId="77777777" w:rsidR="00142FB2" w:rsidRDefault="00142F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Noto Serif">
    <w:charset w:val="00"/>
    <w:family w:val="roman"/>
    <w:pitch w:val="variable"/>
    <w:sig w:usb0="E00002FF" w:usb1="500078FF" w:usb2="00000029"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1663" w14:textId="77777777" w:rsidR="00142FB2" w:rsidRDefault="00142FB2">
      <w:pPr>
        <w:spacing w:before="0" w:line="240" w:lineRule="auto"/>
      </w:pPr>
      <w:r>
        <w:rPr>
          <w:color w:val="000000"/>
        </w:rPr>
        <w:separator/>
      </w:r>
    </w:p>
  </w:footnote>
  <w:footnote w:type="continuationSeparator" w:id="0">
    <w:p w14:paraId="525FE6AE" w14:textId="77777777" w:rsidR="00142FB2" w:rsidRDefault="00142FB2">
      <w:pPr>
        <w:spacing w:before="0" w:line="240" w:lineRule="auto"/>
      </w:pPr>
      <w:r>
        <w:continuationSeparator/>
      </w:r>
    </w:p>
  </w:footnote>
  <w:footnote w:id="1">
    <w:p w14:paraId="6644EFDE" w14:textId="2F911242" w:rsidR="006E09BA" w:rsidRDefault="006E09BA" w:rsidP="00474918">
      <w:pPr>
        <w:pStyle w:val="ODNONIKtreodnonika"/>
      </w:pPr>
      <w:r>
        <w:rPr>
          <w:rStyle w:val="Odwoanieprzypisudolnego"/>
        </w:rPr>
        <w:footnoteRef/>
      </w:r>
      <w:r>
        <w:rPr>
          <w:rStyle w:val="IGindeksgrny"/>
        </w:rPr>
        <w:t>)</w:t>
      </w:r>
      <w:r>
        <w:tab/>
        <w:t>Niniejszą ustawą zmienia się ustawy: ustawę z dnia 10 kwietnia 1997 r. – Prawo energetyczne, ustawę z dnia 20 lutego 2015 r. o odnawialnych źródłach energii</w:t>
      </w:r>
      <w:r>
        <w:rPr>
          <w:rStyle w:val="Ppogrubienie"/>
        </w:rPr>
        <w:t xml:space="preserve"> </w:t>
      </w:r>
      <w:r>
        <w:t>oraz ustawę z dnia 14 grudnia 2018 r. o promowaniu energii elektrycznej z wysokosprawnej kogeneracji.</w:t>
      </w:r>
    </w:p>
  </w:footnote>
  <w:footnote w:id="2">
    <w:p w14:paraId="1DCD4588" w14:textId="57E57A9B" w:rsidR="006674BC" w:rsidRDefault="006674BC" w:rsidP="002A196A">
      <w:pPr>
        <w:pStyle w:val="ODNONIKtreodnonika"/>
      </w:pPr>
      <w:r>
        <w:rPr>
          <w:rStyle w:val="Odwoanieprzypisudolnego"/>
        </w:rPr>
        <w:footnoteRef/>
      </w:r>
      <w:r w:rsidRPr="006674BC">
        <w:rPr>
          <w:vertAlign w:val="superscript"/>
        </w:rPr>
        <w:t>)</w:t>
      </w:r>
      <w:r w:rsidR="002A196A">
        <w:tab/>
      </w:r>
      <w:r>
        <w:t>Zmiany tekstu jednolitego wymienionej ustawy zostały ogłoszone w D</w:t>
      </w:r>
      <w:r w:rsidR="002A196A">
        <w:t>z. U. z 2024 r. poz. 834, 859, 1847 i 1881 oraz z 2025 r. poz. 303, 759, 1218, 1303 i 1535.</w:t>
      </w:r>
    </w:p>
  </w:footnote>
  <w:footnote w:id="3">
    <w:p w14:paraId="4B8465E7" w14:textId="00F944C2" w:rsidR="006674BC" w:rsidRDefault="006674BC" w:rsidP="006674BC">
      <w:pPr>
        <w:pStyle w:val="ODNONIKtreodnonika"/>
      </w:pPr>
      <w:r>
        <w:rPr>
          <w:rStyle w:val="Odwoanieprzypisudolnego"/>
        </w:rPr>
        <w:footnoteRef/>
      </w:r>
      <w:r w:rsidRPr="006674BC">
        <w:rPr>
          <w:vertAlign w:val="superscript"/>
        </w:rPr>
        <w:t>)</w:t>
      </w:r>
      <w:r>
        <w:tab/>
        <w:t>Zmiany tekstu jednolitego wymienionej ustawy zostały ogłoszone w Dz. U. z 2024 r. poz. 1847 i 1881 oraz z 2025 r. poz.303, 759, 1218 i 1535.</w:t>
      </w:r>
    </w:p>
  </w:footnote>
  <w:footnote w:id="4">
    <w:p w14:paraId="1F6BBCD6" w14:textId="4C114753" w:rsidR="00ED7370" w:rsidRDefault="00ED7370" w:rsidP="00796967">
      <w:pPr>
        <w:pStyle w:val="ODNONIKtreodnonika"/>
      </w:pPr>
      <w:r>
        <w:rPr>
          <w:rStyle w:val="Odwoanieprzypisudolnego"/>
        </w:rPr>
        <w:footnoteRef/>
      </w:r>
      <w:r w:rsidR="00C84291" w:rsidRPr="00474918">
        <w:rPr>
          <w:vertAlign w:val="superscript"/>
        </w:rPr>
        <w:t>)</w:t>
      </w:r>
      <w:r w:rsidR="00796967">
        <w:rPr>
          <w:vertAlign w:val="superscript"/>
        </w:rPr>
        <w:tab/>
      </w:r>
      <w:r w:rsidR="00796967" w:rsidRPr="00F14794">
        <w:t xml:space="preserve">Zmiany tekstu jednolitego wymienionej dyrektywy zostały ogłoszone w Dz. Urz. UE L 311 z 25.09.2020, str. 11, Dz. Urz. UE L 41 z 22.02.2022, str. 37, Dz. Urz. UE L 139 z 18.05.2022, str. 1, Dz. Urz. UE L </w:t>
      </w:r>
      <w:r w:rsidR="00571903">
        <w:t>2023/</w:t>
      </w:r>
      <w:r w:rsidR="00796967" w:rsidRPr="00F14794">
        <w:t xml:space="preserve">2413 z 21.10.2023, Dz. Urz. UE L </w:t>
      </w:r>
      <w:r w:rsidR="001F7841">
        <w:t>2024/</w:t>
      </w:r>
      <w:r w:rsidR="00796967" w:rsidRPr="00F14794">
        <w:t xml:space="preserve">1405 z 17.05.2024, Dz. Urz. UE L </w:t>
      </w:r>
      <w:r w:rsidR="001F7841">
        <w:t>2024/</w:t>
      </w:r>
      <w:r w:rsidR="00796967" w:rsidRPr="00F14794">
        <w:t>1711 z 26.06.2024</w:t>
      </w:r>
      <w:r w:rsidR="001F7841">
        <w:t xml:space="preserve"> </w:t>
      </w:r>
      <w:r w:rsidR="00796967" w:rsidRPr="00F14794">
        <w:t xml:space="preserve">i Dz. Urz. UE L </w:t>
      </w:r>
      <w:r w:rsidR="001F7841">
        <w:t>2025/</w:t>
      </w:r>
      <w:r w:rsidR="00796967" w:rsidRPr="00F14794">
        <w:t>90854 z 27.10.2025.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EFE5" w14:textId="77777777" w:rsidR="006E09BA" w:rsidRDefault="006E09BA">
    <w:pPr>
      <w:pStyle w:val="Nagwek"/>
      <w:jc w:val="center"/>
    </w:pPr>
    <w:r>
      <w:fldChar w:fldCharType="begin"/>
    </w:r>
    <w:r>
      <w:instrText xml:space="preserve"> PAGE </w:instrText>
    </w:r>
    <w:r>
      <w:fldChar w:fldCharType="separate"/>
    </w:r>
    <w:r>
      <w:t>2</w:t>
    </w:r>
    <w:r>
      <w:fldChar w:fldCharType="end"/>
    </w:r>
  </w:p>
  <w:p w14:paraId="6644EFE6" w14:textId="77777777" w:rsidR="006E09BA" w:rsidRDefault="006E09B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D8"/>
    <w:rsid w:val="000005BE"/>
    <w:rsid w:val="00000DAE"/>
    <w:rsid w:val="00017B72"/>
    <w:rsid w:val="00021674"/>
    <w:rsid w:val="000238C1"/>
    <w:rsid w:val="0002530B"/>
    <w:rsid w:val="00066C9E"/>
    <w:rsid w:val="000741C9"/>
    <w:rsid w:val="000750FA"/>
    <w:rsid w:val="000A221B"/>
    <w:rsid w:val="000B111A"/>
    <w:rsid w:val="000B303C"/>
    <w:rsid w:val="000E054D"/>
    <w:rsid w:val="000E6639"/>
    <w:rsid w:val="00110A4C"/>
    <w:rsid w:val="00122292"/>
    <w:rsid w:val="00135C05"/>
    <w:rsid w:val="00142FB2"/>
    <w:rsid w:val="00157A6C"/>
    <w:rsid w:val="00183586"/>
    <w:rsid w:val="00185224"/>
    <w:rsid w:val="00185DDE"/>
    <w:rsid w:val="00192462"/>
    <w:rsid w:val="001D4E0F"/>
    <w:rsid w:val="001E3D6D"/>
    <w:rsid w:val="001F7841"/>
    <w:rsid w:val="001F7B5A"/>
    <w:rsid w:val="00242116"/>
    <w:rsid w:val="0025056D"/>
    <w:rsid w:val="002766B9"/>
    <w:rsid w:val="00281DDF"/>
    <w:rsid w:val="002870A1"/>
    <w:rsid w:val="002946F9"/>
    <w:rsid w:val="002971F8"/>
    <w:rsid w:val="00297303"/>
    <w:rsid w:val="002A196A"/>
    <w:rsid w:val="00315D4C"/>
    <w:rsid w:val="0031667A"/>
    <w:rsid w:val="00342E08"/>
    <w:rsid w:val="00347CF0"/>
    <w:rsid w:val="00387E31"/>
    <w:rsid w:val="003B2420"/>
    <w:rsid w:val="003B76FA"/>
    <w:rsid w:val="003F1EAE"/>
    <w:rsid w:val="003F43E8"/>
    <w:rsid w:val="0042074F"/>
    <w:rsid w:val="00425490"/>
    <w:rsid w:val="0044275A"/>
    <w:rsid w:val="004570DE"/>
    <w:rsid w:val="00457C8D"/>
    <w:rsid w:val="00464ECE"/>
    <w:rsid w:val="00474918"/>
    <w:rsid w:val="0048711A"/>
    <w:rsid w:val="004879D2"/>
    <w:rsid w:val="004A6445"/>
    <w:rsid w:val="005234F6"/>
    <w:rsid w:val="005239AB"/>
    <w:rsid w:val="005470FB"/>
    <w:rsid w:val="00571903"/>
    <w:rsid w:val="0057529D"/>
    <w:rsid w:val="00584123"/>
    <w:rsid w:val="005870D6"/>
    <w:rsid w:val="005A0A43"/>
    <w:rsid w:val="005B4B0B"/>
    <w:rsid w:val="005C3904"/>
    <w:rsid w:val="005D5F40"/>
    <w:rsid w:val="005F3EA5"/>
    <w:rsid w:val="005F6B01"/>
    <w:rsid w:val="00607615"/>
    <w:rsid w:val="00614CFC"/>
    <w:rsid w:val="00617F8C"/>
    <w:rsid w:val="006209D7"/>
    <w:rsid w:val="006560DA"/>
    <w:rsid w:val="006674BC"/>
    <w:rsid w:val="0069603B"/>
    <w:rsid w:val="00696118"/>
    <w:rsid w:val="006A16EF"/>
    <w:rsid w:val="006B5E88"/>
    <w:rsid w:val="006B6FE3"/>
    <w:rsid w:val="006E09BA"/>
    <w:rsid w:val="00716123"/>
    <w:rsid w:val="007167BF"/>
    <w:rsid w:val="00717BBC"/>
    <w:rsid w:val="0073368B"/>
    <w:rsid w:val="0075156A"/>
    <w:rsid w:val="00752395"/>
    <w:rsid w:val="007716FD"/>
    <w:rsid w:val="00796967"/>
    <w:rsid w:val="007A3C86"/>
    <w:rsid w:val="007A6E2B"/>
    <w:rsid w:val="007A7089"/>
    <w:rsid w:val="007F1039"/>
    <w:rsid w:val="00826B6A"/>
    <w:rsid w:val="00841E58"/>
    <w:rsid w:val="00843B1E"/>
    <w:rsid w:val="00852286"/>
    <w:rsid w:val="00883D65"/>
    <w:rsid w:val="00890059"/>
    <w:rsid w:val="0089247B"/>
    <w:rsid w:val="008B2BAE"/>
    <w:rsid w:val="008C4FA9"/>
    <w:rsid w:val="008C5A13"/>
    <w:rsid w:val="008D4010"/>
    <w:rsid w:val="008F112E"/>
    <w:rsid w:val="0092505A"/>
    <w:rsid w:val="00945444"/>
    <w:rsid w:val="00953BF7"/>
    <w:rsid w:val="00960FC7"/>
    <w:rsid w:val="009A2AC2"/>
    <w:rsid w:val="009A57AE"/>
    <w:rsid w:val="009D0517"/>
    <w:rsid w:val="009D75AF"/>
    <w:rsid w:val="00A1196D"/>
    <w:rsid w:val="00A30E79"/>
    <w:rsid w:val="00AA29F5"/>
    <w:rsid w:val="00B071D2"/>
    <w:rsid w:val="00B173E5"/>
    <w:rsid w:val="00B33B8E"/>
    <w:rsid w:val="00B33DD1"/>
    <w:rsid w:val="00B5054B"/>
    <w:rsid w:val="00BB0564"/>
    <w:rsid w:val="00BE0E68"/>
    <w:rsid w:val="00BE5837"/>
    <w:rsid w:val="00C05FC6"/>
    <w:rsid w:val="00C24C8C"/>
    <w:rsid w:val="00C27BCA"/>
    <w:rsid w:val="00C604FF"/>
    <w:rsid w:val="00C70E86"/>
    <w:rsid w:val="00C84291"/>
    <w:rsid w:val="00D15FD9"/>
    <w:rsid w:val="00D23D8F"/>
    <w:rsid w:val="00D60428"/>
    <w:rsid w:val="00D60D3F"/>
    <w:rsid w:val="00D6229B"/>
    <w:rsid w:val="00DB0AC1"/>
    <w:rsid w:val="00E057E3"/>
    <w:rsid w:val="00E30D61"/>
    <w:rsid w:val="00EB6F7F"/>
    <w:rsid w:val="00ED5760"/>
    <w:rsid w:val="00ED7370"/>
    <w:rsid w:val="00ED7627"/>
    <w:rsid w:val="00EF2F3B"/>
    <w:rsid w:val="00F164F7"/>
    <w:rsid w:val="00F400D7"/>
    <w:rsid w:val="00F4176A"/>
    <w:rsid w:val="00F417C3"/>
    <w:rsid w:val="00F54807"/>
    <w:rsid w:val="00F60204"/>
    <w:rsid w:val="00FA361D"/>
    <w:rsid w:val="00FB0CE3"/>
    <w:rsid w:val="00FB499C"/>
    <w:rsid w:val="00FC6B49"/>
    <w:rsid w:val="00FE10C9"/>
    <w:rsid w:val="00FF04D8"/>
    <w:rsid w:val="00FF4D99"/>
    <w:rsid w:val="0102B74F"/>
    <w:rsid w:val="0302046B"/>
    <w:rsid w:val="062A5599"/>
    <w:rsid w:val="074B2E3F"/>
    <w:rsid w:val="089D8571"/>
    <w:rsid w:val="0B210EB9"/>
    <w:rsid w:val="0E96CEEC"/>
    <w:rsid w:val="0FBE4529"/>
    <w:rsid w:val="0FE323E1"/>
    <w:rsid w:val="0FE731E5"/>
    <w:rsid w:val="134B8B0E"/>
    <w:rsid w:val="187BCDDF"/>
    <w:rsid w:val="18DBED35"/>
    <w:rsid w:val="1F9CB659"/>
    <w:rsid w:val="2089EBBD"/>
    <w:rsid w:val="213AC60C"/>
    <w:rsid w:val="221F743F"/>
    <w:rsid w:val="25C7D96F"/>
    <w:rsid w:val="261C5E47"/>
    <w:rsid w:val="26A3E18E"/>
    <w:rsid w:val="27FC144D"/>
    <w:rsid w:val="29D3A816"/>
    <w:rsid w:val="2ACA9095"/>
    <w:rsid w:val="2BC0EBED"/>
    <w:rsid w:val="2BD97EE8"/>
    <w:rsid w:val="2FC00A36"/>
    <w:rsid w:val="30272C37"/>
    <w:rsid w:val="3085CC62"/>
    <w:rsid w:val="32C88D70"/>
    <w:rsid w:val="333C8B07"/>
    <w:rsid w:val="33C55EB8"/>
    <w:rsid w:val="3414B6A5"/>
    <w:rsid w:val="3478BD35"/>
    <w:rsid w:val="349B252F"/>
    <w:rsid w:val="34A096C1"/>
    <w:rsid w:val="356AD96F"/>
    <w:rsid w:val="35C4A7DC"/>
    <w:rsid w:val="363DEB80"/>
    <w:rsid w:val="365C6250"/>
    <w:rsid w:val="3D1BCE1C"/>
    <w:rsid w:val="3E9F68EB"/>
    <w:rsid w:val="40B0259C"/>
    <w:rsid w:val="44DF6907"/>
    <w:rsid w:val="46849E1D"/>
    <w:rsid w:val="46971F00"/>
    <w:rsid w:val="4C24976A"/>
    <w:rsid w:val="4C9C8E2A"/>
    <w:rsid w:val="4E692BF5"/>
    <w:rsid w:val="505BF107"/>
    <w:rsid w:val="5088B2CA"/>
    <w:rsid w:val="51A4B01C"/>
    <w:rsid w:val="58173174"/>
    <w:rsid w:val="5D4319D7"/>
    <w:rsid w:val="5F4FF38E"/>
    <w:rsid w:val="5FC9A643"/>
    <w:rsid w:val="60F0905A"/>
    <w:rsid w:val="62CD7AA2"/>
    <w:rsid w:val="633B66F0"/>
    <w:rsid w:val="637A9044"/>
    <w:rsid w:val="641FDC66"/>
    <w:rsid w:val="655C07F8"/>
    <w:rsid w:val="66A0C735"/>
    <w:rsid w:val="66C87CA8"/>
    <w:rsid w:val="6B445C5F"/>
    <w:rsid w:val="6B6BA2AC"/>
    <w:rsid w:val="6B8CB9BB"/>
    <w:rsid w:val="6C7AE2BE"/>
    <w:rsid w:val="6D42D4D3"/>
    <w:rsid w:val="6DF57C8B"/>
    <w:rsid w:val="6E2918FD"/>
    <w:rsid w:val="6E58324F"/>
    <w:rsid w:val="6E6CB29E"/>
    <w:rsid w:val="6F893596"/>
    <w:rsid w:val="734E1273"/>
    <w:rsid w:val="74D9AF82"/>
    <w:rsid w:val="762AB57C"/>
    <w:rsid w:val="766D859C"/>
    <w:rsid w:val="792E0CAD"/>
    <w:rsid w:val="7BA43678"/>
    <w:rsid w:val="7C3EA470"/>
    <w:rsid w:val="7E99621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EFDD"/>
  <w15:docId w15:val="{AD6D9441-2106-4157-B9C9-FA82AC28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spacing w:before="113" w:after="0" w:line="220" w:lineRule="exact"/>
      <w:jc w:val="both"/>
    </w:pPr>
    <w:rPr>
      <w:rFonts w:ascii="Times" w:eastAsia="Times New Roman" w:hAnsi="Times" w:cs="Arial"/>
      <w:kern w:val="0"/>
      <w:sz w:val="20"/>
      <w:szCs w:val="20"/>
      <w:lang w:eastAsia="pl-PL"/>
    </w:rPr>
  </w:style>
  <w:style w:type="paragraph" w:styleId="Nagwek1">
    <w:name w:val="heading 1"/>
    <w:basedOn w:val="Normalny"/>
    <w:next w:val="Normalny"/>
    <w:uiPriority w:val="9"/>
    <w:qFormat/>
    <w:pPr>
      <w:keepNext/>
      <w:keepLines/>
      <w:widowControl/>
      <w:autoSpaceDE/>
      <w:spacing w:before="360" w:after="80" w:line="276" w:lineRule="auto"/>
      <w:jc w:val="left"/>
      <w:outlineLvl w:val="0"/>
    </w:pPr>
    <w:rPr>
      <w:rFonts w:ascii="Aptos Display" w:hAnsi="Aptos Display" w:cs="Times New Roman"/>
      <w:color w:val="0F4761"/>
      <w:kern w:val="3"/>
      <w:sz w:val="40"/>
      <w:szCs w:val="40"/>
      <w:lang w:eastAsia="en-US"/>
    </w:rPr>
  </w:style>
  <w:style w:type="paragraph" w:styleId="Nagwek2">
    <w:name w:val="heading 2"/>
    <w:basedOn w:val="Normalny"/>
    <w:next w:val="Normalny"/>
    <w:uiPriority w:val="9"/>
    <w:semiHidden/>
    <w:unhideWhenUsed/>
    <w:qFormat/>
    <w:pPr>
      <w:keepNext/>
      <w:keepLines/>
      <w:widowControl/>
      <w:autoSpaceDE/>
      <w:spacing w:before="160" w:after="80" w:line="276" w:lineRule="auto"/>
      <w:jc w:val="left"/>
      <w:outlineLvl w:val="1"/>
    </w:pPr>
    <w:rPr>
      <w:rFonts w:ascii="Aptos Display" w:hAnsi="Aptos Display" w:cs="Times New Roman"/>
      <w:color w:val="0F4761"/>
      <w:kern w:val="3"/>
      <w:sz w:val="32"/>
      <w:szCs w:val="32"/>
      <w:lang w:eastAsia="en-US"/>
    </w:rPr>
  </w:style>
  <w:style w:type="paragraph" w:styleId="Nagwek3">
    <w:name w:val="heading 3"/>
    <w:basedOn w:val="Normalny"/>
    <w:next w:val="Normalny"/>
    <w:uiPriority w:val="9"/>
    <w:semiHidden/>
    <w:unhideWhenUsed/>
    <w:qFormat/>
    <w:pPr>
      <w:keepNext/>
      <w:keepLines/>
      <w:widowControl/>
      <w:autoSpaceDE/>
      <w:spacing w:before="160" w:after="80" w:line="276" w:lineRule="auto"/>
      <w:jc w:val="left"/>
      <w:outlineLvl w:val="2"/>
    </w:pPr>
    <w:rPr>
      <w:rFonts w:ascii="Aptos" w:hAnsi="Aptos" w:cs="Times New Roman"/>
      <w:color w:val="0F4761"/>
      <w:kern w:val="3"/>
      <w:sz w:val="28"/>
      <w:szCs w:val="28"/>
      <w:lang w:eastAsia="en-US"/>
    </w:rPr>
  </w:style>
  <w:style w:type="paragraph" w:styleId="Nagwek4">
    <w:name w:val="heading 4"/>
    <w:basedOn w:val="Normalny"/>
    <w:next w:val="Normalny"/>
    <w:uiPriority w:val="9"/>
    <w:semiHidden/>
    <w:unhideWhenUsed/>
    <w:qFormat/>
    <w:pPr>
      <w:keepNext/>
      <w:keepLines/>
      <w:widowControl/>
      <w:autoSpaceDE/>
      <w:spacing w:before="80" w:after="40" w:line="276" w:lineRule="auto"/>
      <w:jc w:val="left"/>
      <w:outlineLvl w:val="3"/>
    </w:pPr>
    <w:rPr>
      <w:rFonts w:ascii="Aptos" w:hAnsi="Aptos" w:cs="Times New Roman"/>
      <w:i/>
      <w:iCs/>
      <w:color w:val="0F4761"/>
      <w:kern w:val="3"/>
      <w:sz w:val="24"/>
      <w:szCs w:val="24"/>
      <w:lang w:eastAsia="en-US"/>
    </w:rPr>
  </w:style>
  <w:style w:type="paragraph" w:styleId="Nagwek5">
    <w:name w:val="heading 5"/>
    <w:basedOn w:val="Normalny"/>
    <w:next w:val="Normalny"/>
    <w:uiPriority w:val="9"/>
    <w:semiHidden/>
    <w:unhideWhenUsed/>
    <w:qFormat/>
    <w:pPr>
      <w:keepNext/>
      <w:keepLines/>
      <w:widowControl/>
      <w:autoSpaceDE/>
      <w:spacing w:before="80" w:after="40" w:line="276" w:lineRule="auto"/>
      <w:jc w:val="left"/>
      <w:outlineLvl w:val="4"/>
    </w:pPr>
    <w:rPr>
      <w:rFonts w:ascii="Aptos" w:hAnsi="Aptos" w:cs="Times New Roman"/>
      <w:color w:val="0F4761"/>
      <w:kern w:val="3"/>
      <w:sz w:val="24"/>
      <w:szCs w:val="24"/>
      <w:lang w:eastAsia="en-US"/>
    </w:rPr>
  </w:style>
  <w:style w:type="paragraph" w:styleId="Nagwek6">
    <w:name w:val="heading 6"/>
    <w:basedOn w:val="Normalny"/>
    <w:next w:val="Normalny"/>
    <w:uiPriority w:val="9"/>
    <w:semiHidden/>
    <w:unhideWhenUsed/>
    <w:qFormat/>
    <w:pPr>
      <w:keepNext/>
      <w:keepLines/>
      <w:widowControl/>
      <w:autoSpaceDE/>
      <w:spacing w:before="40" w:line="276" w:lineRule="auto"/>
      <w:jc w:val="left"/>
      <w:outlineLvl w:val="5"/>
    </w:pPr>
    <w:rPr>
      <w:rFonts w:ascii="Aptos" w:hAnsi="Aptos" w:cs="Times New Roman"/>
      <w:i/>
      <w:iCs/>
      <w:color w:val="595959"/>
      <w:kern w:val="3"/>
      <w:sz w:val="24"/>
      <w:szCs w:val="24"/>
      <w:lang w:eastAsia="en-US"/>
    </w:rPr>
  </w:style>
  <w:style w:type="paragraph" w:styleId="Nagwek7">
    <w:name w:val="heading 7"/>
    <w:basedOn w:val="Normalny"/>
    <w:next w:val="Normalny"/>
    <w:pPr>
      <w:keepNext/>
      <w:keepLines/>
      <w:widowControl/>
      <w:autoSpaceDE/>
      <w:spacing w:before="40" w:line="276" w:lineRule="auto"/>
      <w:jc w:val="left"/>
      <w:outlineLvl w:val="6"/>
    </w:pPr>
    <w:rPr>
      <w:rFonts w:ascii="Aptos" w:hAnsi="Aptos" w:cs="Times New Roman"/>
      <w:color w:val="595959"/>
      <w:kern w:val="3"/>
      <w:sz w:val="24"/>
      <w:szCs w:val="24"/>
      <w:lang w:eastAsia="en-US"/>
    </w:rPr>
  </w:style>
  <w:style w:type="paragraph" w:styleId="Nagwek8">
    <w:name w:val="heading 8"/>
    <w:basedOn w:val="Normalny"/>
    <w:next w:val="Normalny"/>
    <w:pPr>
      <w:keepNext/>
      <w:keepLines/>
      <w:widowControl/>
      <w:autoSpaceDE/>
      <w:spacing w:before="0" w:line="276" w:lineRule="auto"/>
      <w:jc w:val="left"/>
      <w:outlineLvl w:val="7"/>
    </w:pPr>
    <w:rPr>
      <w:rFonts w:ascii="Aptos" w:hAnsi="Aptos" w:cs="Times New Roman"/>
      <w:i/>
      <w:iCs/>
      <w:color w:val="272727"/>
      <w:kern w:val="3"/>
      <w:sz w:val="24"/>
      <w:szCs w:val="24"/>
      <w:lang w:eastAsia="en-US"/>
    </w:rPr>
  </w:style>
  <w:style w:type="paragraph" w:styleId="Nagwek9">
    <w:name w:val="heading 9"/>
    <w:basedOn w:val="Normalny"/>
    <w:next w:val="Normalny"/>
    <w:pPr>
      <w:keepNext/>
      <w:keepLines/>
      <w:widowControl/>
      <w:autoSpaceDE/>
      <w:spacing w:before="0" w:line="276" w:lineRule="auto"/>
      <w:jc w:val="left"/>
      <w:outlineLvl w:val="8"/>
    </w:pPr>
    <w:rPr>
      <w:rFonts w:ascii="Aptos" w:hAnsi="Aptos" w:cs="Times New Roman"/>
      <w:color w:val="272727"/>
      <w:kern w:val="3"/>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widowControl/>
      <w:autoSpaceDE/>
      <w:spacing w:before="0" w:after="80" w:line="240" w:lineRule="auto"/>
      <w:contextualSpacing/>
      <w:jc w:val="left"/>
    </w:pPr>
    <w:rPr>
      <w:rFonts w:ascii="Aptos Display" w:hAnsi="Aptos Display" w:cs="Times New Roman"/>
      <w:spacing w:val="-10"/>
      <w:kern w:val="3"/>
      <w:sz w:val="56"/>
      <w:szCs w:val="56"/>
      <w:lang w:eastAsia="en-US"/>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pPr>
      <w:widowControl/>
      <w:autoSpaceDE/>
      <w:spacing w:before="0" w:after="160" w:line="276" w:lineRule="auto"/>
      <w:jc w:val="left"/>
    </w:pPr>
    <w:rPr>
      <w:rFonts w:ascii="Aptos" w:hAnsi="Aptos" w:cs="Times New Roman"/>
      <w:color w:val="595959"/>
      <w:spacing w:val="15"/>
      <w:kern w:val="3"/>
      <w:sz w:val="28"/>
      <w:szCs w:val="28"/>
      <w:lang w:eastAsia="en-US"/>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widowControl/>
      <w:autoSpaceDE/>
      <w:spacing w:before="160" w:after="160" w:line="276" w:lineRule="auto"/>
      <w:jc w:val="center"/>
    </w:pPr>
    <w:rPr>
      <w:rFonts w:ascii="Aptos" w:eastAsia="Aptos" w:hAnsi="Aptos" w:cs="Times New Roman"/>
      <w:i/>
      <w:iCs/>
      <w:color w:val="404040"/>
      <w:kern w:val="3"/>
      <w:sz w:val="24"/>
      <w:szCs w:val="24"/>
      <w:lang w:eastAsia="en-US"/>
    </w:rPr>
  </w:style>
  <w:style w:type="character" w:customStyle="1" w:styleId="CytatZnak">
    <w:name w:val="Cytat Znak"/>
    <w:basedOn w:val="Domylnaczcionkaakapitu"/>
    <w:rPr>
      <w:i/>
      <w:iCs/>
      <w:color w:val="404040"/>
    </w:rPr>
  </w:style>
  <w:style w:type="paragraph" w:styleId="Akapitzlist">
    <w:name w:val="List Paragraph"/>
    <w:basedOn w:val="Normalny"/>
    <w:pPr>
      <w:widowControl/>
      <w:autoSpaceDE/>
      <w:spacing w:before="0" w:after="160" w:line="276" w:lineRule="auto"/>
      <w:ind w:left="720"/>
      <w:contextualSpacing/>
      <w:jc w:val="left"/>
    </w:pPr>
    <w:rPr>
      <w:rFonts w:ascii="Aptos" w:eastAsia="Aptos" w:hAnsi="Aptos" w:cs="Times New Roman"/>
      <w:kern w:val="3"/>
      <w:sz w:val="24"/>
      <w:szCs w:val="24"/>
      <w:lang w:eastAsia="en-US"/>
    </w:r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widowControl/>
      <w:pBdr>
        <w:top w:val="single" w:sz="4" w:space="10" w:color="0F4761"/>
        <w:bottom w:val="single" w:sz="4" w:space="10" w:color="0F4761"/>
      </w:pBdr>
      <w:autoSpaceDE/>
      <w:spacing w:before="360" w:after="360" w:line="276" w:lineRule="auto"/>
      <w:ind w:left="864" w:right="864"/>
      <w:jc w:val="center"/>
    </w:pPr>
    <w:rPr>
      <w:rFonts w:ascii="Aptos" w:eastAsia="Aptos" w:hAnsi="Aptos" w:cs="Times New Roman"/>
      <w:i/>
      <w:iCs/>
      <w:color w:val="0F4761"/>
      <w:kern w:val="3"/>
      <w:sz w:val="24"/>
      <w:szCs w:val="24"/>
      <w:lang w:eastAsia="en-US"/>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character" w:styleId="Odwoanieprzypisudolnego">
    <w:name w:val="footnote reference"/>
    <w:rPr>
      <w:rFonts w:cs="Times New Roman"/>
      <w:position w:val="0"/>
      <w:vertAlign w:val="superscript"/>
    </w:rPr>
  </w:style>
  <w:style w:type="paragraph" w:styleId="Nagwek">
    <w:name w:val="header"/>
    <w:basedOn w:val="Normalny"/>
    <w:pPr>
      <w:tabs>
        <w:tab w:val="center" w:pos="4536"/>
        <w:tab w:val="right" w:pos="9072"/>
      </w:tabs>
      <w:autoSpaceDE/>
    </w:pPr>
    <w:rPr>
      <w:rFonts w:cs="Times New Roman"/>
      <w:kern w:val="3"/>
      <w:szCs w:val="24"/>
      <w:lang w:eastAsia="ar-SA"/>
    </w:rPr>
  </w:style>
  <w:style w:type="character" w:customStyle="1" w:styleId="NagwekZnak">
    <w:name w:val="Nagłówek Znak"/>
    <w:basedOn w:val="Domylnaczcionkaakapitu"/>
    <w:rPr>
      <w:rFonts w:ascii="Times" w:eastAsia="Times New Roman" w:hAnsi="Times" w:cs="Times New Roman"/>
      <w:kern w:val="3"/>
      <w:sz w:val="20"/>
      <w:lang w:eastAsia="ar-SA"/>
    </w:rPr>
  </w:style>
  <w:style w:type="paragraph" w:customStyle="1" w:styleId="ARTartustawynprozporzdzenia">
    <w:name w:val="ART(§) – art. ustawy (§ np. rozporządzenia)"/>
    <w:uiPriority w:val="14"/>
    <w:qFormat/>
    <w:pPr>
      <w:suppressAutoHyphens/>
      <w:autoSpaceDE w:val="0"/>
      <w:spacing w:before="120" w:after="0" w:line="360" w:lineRule="auto"/>
      <w:ind w:firstLine="510"/>
      <w:jc w:val="both"/>
    </w:pPr>
    <w:rPr>
      <w:rFonts w:ascii="Times" w:eastAsia="Times New Roman" w:hAnsi="Times" w:cs="Arial"/>
      <w:kern w:val="0"/>
      <w:szCs w:val="20"/>
      <w:lang w:eastAsia="pl-PL"/>
    </w:rPr>
  </w:style>
  <w:style w:type="paragraph" w:customStyle="1" w:styleId="ZPKTzmpktartykuempunktem">
    <w:name w:val="Z/PKT – zm. pkt artykułem (punktem)"/>
    <w:basedOn w:val="PKTpunkt"/>
    <w:pPr>
      <w:ind w:left="1020"/>
    </w:pPr>
  </w:style>
  <w:style w:type="paragraph" w:customStyle="1" w:styleId="ZARTzmartartykuempunktem">
    <w:name w:val="Z/ART(§) – zm. art. (§) artykułem (punktem)"/>
    <w:basedOn w:val="ARTartustawynprozporzdzenia"/>
    <w:pPr>
      <w:spacing w:before="0"/>
      <w:ind w:left="510"/>
    </w:pPr>
  </w:style>
  <w:style w:type="paragraph" w:customStyle="1" w:styleId="DATAAKTUdatauchwalenialubwydaniaaktu">
    <w:name w:val="DATA_AKTU – data uchwalenia lub wydania aktu"/>
    <w:next w:val="TYTUAKTUprzedmiotregulacjiustawylubrozporzdzenia"/>
    <w:pPr>
      <w:keepNext/>
      <w:suppressAutoHyphens/>
      <w:spacing w:before="120" w:after="120" w:line="360" w:lineRule="auto"/>
      <w:jc w:val="center"/>
    </w:pPr>
    <w:rPr>
      <w:rFonts w:ascii="Times" w:eastAsia="Times New Roman" w:hAnsi="Times" w:cs="Arial"/>
      <w:bCs/>
      <w:kern w:val="0"/>
      <w:lang w:eastAsia="pl-PL"/>
    </w:rPr>
  </w:style>
  <w:style w:type="paragraph" w:customStyle="1" w:styleId="TYTUAKTUprzedmiotregulacjiustawylubrozporzdzenia">
    <w:name w:val="TYTUŁ_AKTU – przedmiot regulacji ustawy lub rozporządzenia"/>
    <w:next w:val="ARTartustawynprozporzdzenia"/>
    <w:pPr>
      <w:keepNext/>
      <w:suppressAutoHyphens/>
      <w:spacing w:before="120" w:after="360" w:line="360" w:lineRule="auto"/>
      <w:jc w:val="center"/>
    </w:pPr>
    <w:rPr>
      <w:rFonts w:ascii="Times" w:eastAsia="Times New Roman" w:hAnsi="Times" w:cs="Arial"/>
      <w:b/>
      <w:bCs/>
      <w:kern w:val="0"/>
      <w:lang w:eastAsia="pl-PL"/>
    </w:rPr>
  </w:style>
  <w:style w:type="paragraph" w:customStyle="1" w:styleId="OZNRODZAKTUtznustawalubrozporzdzenieiorganwydajcy">
    <w:name w:val="OZN_RODZ_AKTU – tzn. ustawa lub rozporządzenie i organ wydający"/>
    <w:next w:val="DATAAKTUdatauchwalenialubwydaniaaktu"/>
    <w:pPr>
      <w:keepNext/>
      <w:suppressAutoHyphens/>
      <w:spacing w:after="120" w:line="360" w:lineRule="auto"/>
      <w:jc w:val="center"/>
    </w:pPr>
    <w:rPr>
      <w:rFonts w:ascii="Times" w:eastAsia="Times New Roman" w:hAnsi="Times"/>
      <w:b/>
      <w:bCs/>
      <w:caps/>
      <w:spacing w:val="54"/>
      <w:lang w:eastAsia="pl-PL"/>
    </w:rPr>
  </w:style>
  <w:style w:type="paragraph" w:customStyle="1" w:styleId="PKTpunkt">
    <w:name w:val="PKT – punkt"/>
    <w:uiPriority w:val="13"/>
    <w:qFormat/>
    <w:pPr>
      <w:suppressAutoHyphens/>
      <w:spacing w:after="0" w:line="360" w:lineRule="auto"/>
      <w:ind w:left="510" w:hanging="510"/>
      <w:jc w:val="both"/>
    </w:pPr>
    <w:rPr>
      <w:rFonts w:ascii="Times" w:eastAsia="Times New Roman" w:hAnsi="Times" w:cs="Arial"/>
      <w:bCs/>
      <w:kern w:val="0"/>
      <w:szCs w:val="20"/>
      <w:lang w:eastAsia="pl-PL"/>
    </w:rPr>
  </w:style>
  <w:style w:type="paragraph" w:customStyle="1" w:styleId="LITlitera">
    <w:name w:val="LIT – litera"/>
    <w:basedOn w:val="PKTpunkt"/>
    <w:uiPriority w:val="14"/>
    <w:qFormat/>
    <w:pPr>
      <w:ind w:left="986" w:hanging="476"/>
    </w:pPr>
  </w:style>
  <w:style w:type="paragraph" w:customStyle="1" w:styleId="ZLITTIRwLITzmtirwlitliter">
    <w:name w:val="Z_LIT/TIR_w_LIT – zm. tir. w lit. literą"/>
    <w:basedOn w:val="Normalny"/>
    <w:pPr>
      <w:widowControl/>
      <w:autoSpaceDE/>
      <w:spacing w:before="0" w:line="360" w:lineRule="auto"/>
      <w:ind w:left="1860" w:hanging="397"/>
    </w:pPr>
    <w:rPr>
      <w:bCs/>
      <w:sz w:val="24"/>
    </w:rPr>
  </w:style>
  <w:style w:type="paragraph" w:customStyle="1" w:styleId="ZCZWSPPKTzmczciwsppktartykuempunktem">
    <w:name w:val="Z/CZ_WSP_PKT – zm. części wsp. pkt artykułem (punktem)"/>
    <w:basedOn w:val="Normalny"/>
    <w:next w:val="ZARTzmartartykuempunktem"/>
    <w:pPr>
      <w:widowControl/>
      <w:autoSpaceDE/>
      <w:spacing w:before="0" w:line="360" w:lineRule="auto"/>
      <w:ind w:left="510"/>
    </w:pPr>
    <w:rPr>
      <w:bCs/>
      <w:sz w:val="24"/>
    </w:rPr>
  </w:style>
  <w:style w:type="paragraph" w:customStyle="1" w:styleId="ZLITUSTzmustliter">
    <w:name w:val="Z_LIT/UST(§) – zm. ust. (§) literą"/>
    <w:basedOn w:val="Normalny"/>
    <w:pPr>
      <w:widowControl/>
      <w:spacing w:before="0" w:line="360" w:lineRule="auto"/>
      <w:ind w:left="987" w:firstLine="510"/>
    </w:pPr>
    <w:rPr>
      <w:bCs/>
      <w:sz w:val="24"/>
    </w:rPr>
  </w:style>
  <w:style w:type="paragraph" w:customStyle="1" w:styleId="ZLITPKTzmpktliter">
    <w:name w:val="Z_LIT/PKT – zm. pkt literą"/>
    <w:basedOn w:val="PKTpunkt"/>
    <w:pPr>
      <w:ind w:left="1497"/>
    </w:pPr>
  </w:style>
  <w:style w:type="paragraph" w:customStyle="1" w:styleId="ZLITLITzmlitliter">
    <w:name w:val="Z_LIT/LIT – zm. lit. literą"/>
    <w:basedOn w:val="LITlitera"/>
    <w:pPr>
      <w:ind w:left="1463"/>
    </w:pPr>
  </w:style>
  <w:style w:type="paragraph" w:customStyle="1" w:styleId="ZLITLITwPKTzmlitwpktliter">
    <w:name w:val="Z_LIT/LIT_w_PKT – zm. lit. w pkt literą"/>
    <w:basedOn w:val="LITlitera"/>
    <w:pPr>
      <w:ind w:left="1973"/>
    </w:pPr>
  </w:style>
  <w:style w:type="character" w:styleId="Odwoaniedokomentarza">
    <w:name w:val="annotation reference"/>
    <w:basedOn w:val="Domylnaczcionkaakapitu"/>
    <w:rPr>
      <w:sz w:val="16"/>
      <w:szCs w:val="16"/>
    </w:rPr>
  </w:style>
  <w:style w:type="paragraph" w:styleId="Tekstkomentarza">
    <w:name w:val="annotation text"/>
    <w:basedOn w:val="Normalny"/>
    <w:link w:val="TekstkomentarzaZnak1"/>
    <w:rPr>
      <w:rFonts w:cs="Times New Roman"/>
      <w:szCs w:val="24"/>
    </w:rPr>
  </w:style>
  <w:style w:type="character" w:customStyle="1" w:styleId="TekstkomentarzaZnak">
    <w:name w:val="Tekst komentarza Znak"/>
    <w:basedOn w:val="Domylnaczcionkaakapitu"/>
    <w:rPr>
      <w:rFonts w:ascii="Times" w:eastAsia="Times New Roman" w:hAnsi="Times" w:cs="Times New Roman"/>
      <w:kern w:val="0"/>
      <w:sz w:val="20"/>
      <w:lang w:eastAsia="pl-PL"/>
    </w:rPr>
  </w:style>
  <w:style w:type="paragraph" w:customStyle="1" w:styleId="ODNONIKtreodnonika">
    <w:name w:val="ODNOŚNIK – treść odnośnika"/>
    <w:pPr>
      <w:suppressAutoHyphens/>
      <w:spacing w:after="0" w:line="240" w:lineRule="auto"/>
      <w:ind w:left="284" w:hanging="284"/>
      <w:jc w:val="both"/>
    </w:pPr>
    <w:rPr>
      <w:rFonts w:ascii="Times New Roman" w:eastAsia="Times New Roman" w:hAnsi="Times New Roman" w:cs="Arial"/>
      <w:kern w:val="0"/>
      <w:sz w:val="20"/>
      <w:szCs w:val="20"/>
      <w:lang w:eastAsia="pl-PL"/>
    </w:rPr>
  </w:style>
  <w:style w:type="paragraph" w:customStyle="1" w:styleId="ZFRAGzmfragmentunpzdaniaartykuempunktem">
    <w:name w:val="Z/FRAG – zm. fragmentu (np. zdania) artykułem (punktem)"/>
    <w:basedOn w:val="ZARTzmartartykuempunktem"/>
    <w:next w:val="PKTpunkt"/>
    <w:pPr>
      <w:ind w:firstLine="0"/>
    </w:pPr>
    <w:rPr>
      <w:rFonts w:ascii="Times New Roman" w:hAnsi="Times New Roman"/>
    </w:rPr>
  </w:style>
  <w:style w:type="paragraph" w:customStyle="1" w:styleId="ZLITCZWSPLITzmczciwsplitliter">
    <w:name w:val="Z_LIT/CZ_WSP_LIT – zm. części wsp. lit. literą"/>
    <w:basedOn w:val="Normalny"/>
    <w:next w:val="LITlitera"/>
    <w:pPr>
      <w:widowControl/>
      <w:autoSpaceDE/>
      <w:spacing w:before="0" w:line="360" w:lineRule="auto"/>
      <w:ind w:left="987"/>
    </w:pPr>
    <w:rPr>
      <w:bCs/>
      <w:sz w:val="24"/>
      <w:szCs w:val="24"/>
    </w:rPr>
  </w:style>
  <w:style w:type="paragraph" w:customStyle="1" w:styleId="ZUSTzmustartykuempunktem">
    <w:name w:val="Z/UST(§) – zm. ust. (§) artykułem (punktem)"/>
    <w:basedOn w:val="ZARTzmartartykuempunktem"/>
  </w:style>
  <w:style w:type="paragraph" w:customStyle="1" w:styleId="OZNPROJEKTUwskazaniedatylubwersjiprojektu">
    <w:name w:val="OZN_PROJEKTU – wskazanie daty lub wersji projektu"/>
    <w:next w:val="OZNRODZAKTUtznustawalubrozporzdzenieiorganwydajcy"/>
    <w:pPr>
      <w:suppressAutoHyphens/>
      <w:spacing w:after="0" w:line="360" w:lineRule="auto"/>
      <w:jc w:val="right"/>
    </w:pPr>
    <w:rPr>
      <w:rFonts w:ascii="Times New Roman" w:eastAsia="Times New Roman" w:hAnsi="Times New Roman" w:cs="Arial"/>
      <w:kern w:val="0"/>
      <w:szCs w:val="20"/>
      <w:u w:val="single"/>
      <w:lang w:eastAsia="pl-PL"/>
    </w:rPr>
  </w:style>
  <w:style w:type="paragraph" w:customStyle="1" w:styleId="ZLITARTzmartliter">
    <w:name w:val="Z_LIT/ART(§) – zm. art. (§) literą"/>
    <w:basedOn w:val="ZLITUSTzmustliter"/>
    <w:rPr>
      <w:rFonts w:ascii="Times New Roman" w:hAnsi="Times New Roman"/>
    </w:rPr>
  </w:style>
  <w:style w:type="character" w:customStyle="1" w:styleId="IGindeksgrny">
    <w:name w:val="_IG_ – indeks górny"/>
    <w:basedOn w:val="Domylnaczcionkaakapitu"/>
    <w:rPr>
      <w:b w:val="0"/>
      <w:i w:val="0"/>
      <w:vanish w:val="0"/>
      <w:spacing w:val="0"/>
      <w:position w:val="0"/>
      <w:vertAlign w:val="superscript"/>
    </w:rPr>
  </w:style>
  <w:style w:type="character" w:customStyle="1" w:styleId="IGPindeksgrnyipogrubienie">
    <w:name w:val="_IG_P_ – indeks górny i pogrubienie"/>
    <w:basedOn w:val="Domylnaczcionkaakapitu"/>
    <w:rPr>
      <w:b/>
      <w:vanish w:val="0"/>
      <w:spacing w:val="0"/>
      <w:position w:val="0"/>
      <w:vertAlign w:val="superscript"/>
    </w:rPr>
  </w:style>
  <w:style w:type="character" w:customStyle="1" w:styleId="Ppogrubienie">
    <w:name w:val="_P_ – pogrubienie"/>
    <w:basedOn w:val="Domylnaczcionkaakapitu"/>
    <w:uiPriority w:val="1"/>
    <w:qFormat/>
    <w:rPr>
      <w:b/>
    </w:rPr>
  </w:style>
  <w:style w:type="paragraph" w:styleId="Poprawka">
    <w:name w:val="Revision"/>
    <w:hidden/>
    <w:uiPriority w:val="99"/>
    <w:semiHidden/>
    <w:rsid w:val="008C5A13"/>
    <w:pPr>
      <w:autoSpaceDN/>
      <w:spacing w:after="0" w:line="240" w:lineRule="auto"/>
    </w:pPr>
    <w:rPr>
      <w:rFonts w:ascii="Times" w:eastAsia="Times New Roman" w:hAnsi="Times" w:cs="Arial"/>
      <w:kern w:val="0"/>
      <w:sz w:val="20"/>
      <w:szCs w:val="20"/>
      <w:lang w:eastAsia="pl-PL"/>
    </w:rPr>
  </w:style>
  <w:style w:type="paragraph" w:styleId="Stopka">
    <w:name w:val="footer"/>
    <w:basedOn w:val="Normalny"/>
    <w:link w:val="StopkaZnak"/>
    <w:uiPriority w:val="99"/>
    <w:unhideWhenUsed/>
    <w:rsid w:val="008C5A13"/>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8C5A13"/>
    <w:rPr>
      <w:rFonts w:ascii="Times" w:eastAsia="Times New Roman" w:hAnsi="Times" w:cs="Arial"/>
      <w:kern w:val="0"/>
      <w:sz w:val="20"/>
      <w:szCs w:val="20"/>
      <w:lang w:eastAsia="pl-PL"/>
    </w:rPr>
  </w:style>
  <w:style w:type="character" w:styleId="Hipercze">
    <w:name w:val="Hyperlink"/>
    <w:basedOn w:val="Domylnaczcionkaakapitu"/>
    <w:uiPriority w:val="99"/>
    <w:unhideWhenUsed/>
    <w:rsid w:val="0075156A"/>
    <w:rPr>
      <w:color w:val="467886" w:themeColor="hyperlink"/>
      <w:u w:val="single"/>
    </w:rPr>
  </w:style>
  <w:style w:type="character" w:styleId="Nierozpoznanawzmianka">
    <w:name w:val="Unresolved Mention"/>
    <w:basedOn w:val="Domylnaczcionkaakapitu"/>
    <w:uiPriority w:val="99"/>
    <w:semiHidden/>
    <w:unhideWhenUsed/>
    <w:rsid w:val="0075156A"/>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A6445"/>
    <w:pPr>
      <w:spacing w:line="240" w:lineRule="auto"/>
    </w:pPr>
    <w:rPr>
      <w:rFonts w:cs="Arial"/>
      <w:b/>
      <w:bCs/>
      <w:szCs w:val="20"/>
    </w:rPr>
  </w:style>
  <w:style w:type="character" w:customStyle="1" w:styleId="TekstkomentarzaZnak1">
    <w:name w:val="Tekst komentarza Znak1"/>
    <w:basedOn w:val="Domylnaczcionkaakapitu"/>
    <w:link w:val="Tekstkomentarza"/>
    <w:rsid w:val="004A6445"/>
    <w:rPr>
      <w:rFonts w:ascii="Times" w:eastAsia="Times New Roman" w:hAnsi="Times"/>
      <w:kern w:val="0"/>
      <w:sz w:val="20"/>
      <w:lang w:eastAsia="pl-PL"/>
    </w:rPr>
  </w:style>
  <w:style w:type="character" w:customStyle="1" w:styleId="TematkomentarzaZnak">
    <w:name w:val="Temat komentarza Znak"/>
    <w:basedOn w:val="TekstkomentarzaZnak1"/>
    <w:link w:val="Tematkomentarza"/>
    <w:uiPriority w:val="99"/>
    <w:semiHidden/>
    <w:rsid w:val="004A6445"/>
    <w:rPr>
      <w:rFonts w:ascii="Times" w:eastAsia="Times New Roman" w:hAnsi="Times" w:cs="Arial"/>
      <w:b/>
      <w:bCs/>
      <w:kern w:val="0"/>
      <w:sz w:val="20"/>
      <w:szCs w:val="20"/>
      <w:lang w:eastAsia="pl-PL"/>
    </w:rPr>
  </w:style>
  <w:style w:type="paragraph" w:customStyle="1" w:styleId="USTustnpkodeksu">
    <w:name w:val="UST(§) – ust. (§ np. kodeksu)"/>
    <w:basedOn w:val="ARTartustawynprozporzdzenia"/>
    <w:uiPriority w:val="12"/>
    <w:qFormat/>
    <w:rsid w:val="00347CF0"/>
    <w:pPr>
      <w:adjustRightInd w:val="0"/>
      <w:spacing w:before="0"/>
    </w:pPr>
    <w:rPr>
      <w:rFonts w:eastAsiaTheme="minorEastAsia"/>
      <w:bCs/>
    </w:rPr>
  </w:style>
  <w:style w:type="paragraph" w:styleId="Tekstprzypisudolnego">
    <w:name w:val="footnote text"/>
    <w:basedOn w:val="Normalny"/>
    <w:link w:val="TekstprzypisudolnegoZnak"/>
    <w:uiPriority w:val="99"/>
    <w:semiHidden/>
    <w:unhideWhenUsed/>
    <w:rsid w:val="00ED7370"/>
    <w:pPr>
      <w:spacing w:before="0" w:line="240" w:lineRule="auto"/>
    </w:pPr>
  </w:style>
  <w:style w:type="character" w:customStyle="1" w:styleId="TekstprzypisudolnegoZnak">
    <w:name w:val="Tekst przypisu dolnego Znak"/>
    <w:basedOn w:val="Domylnaczcionkaakapitu"/>
    <w:link w:val="Tekstprzypisudolnego"/>
    <w:uiPriority w:val="99"/>
    <w:semiHidden/>
    <w:rsid w:val="00ED7370"/>
    <w:rPr>
      <w:rFonts w:ascii="Times" w:eastAsia="Times New Roman" w:hAnsi="Times" w:cs="Arial"/>
      <w:kern w:val="0"/>
      <w:sz w:val="20"/>
      <w:szCs w:val="20"/>
      <w:lang w:eastAsia="pl-PL"/>
    </w:rPr>
  </w:style>
  <w:style w:type="paragraph" w:customStyle="1" w:styleId="OZNPARAFYADNOTACJE">
    <w:name w:val="OZN_PARAFY(ADNOTACJE)"/>
    <w:basedOn w:val="ODNONIKtreodnonika"/>
    <w:uiPriority w:val="26"/>
    <w:qFormat/>
    <w:rsid w:val="0057529D"/>
    <w:pPr>
      <w:suppressAutoHyphens w:val="0"/>
      <w:autoSpaceDN/>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rzga3dqltqmfyc4nrzgqydgnzyhe&amp;refSource=hyp"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smrygqytoltqmfyc4nrzgm3tenzzha&amp;refSource=hy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p.legalis.pl/document-view.seam?documentId=mfrxilrtg4ytsmzygq2deltqmfyc4nrzg4ydamjuga&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1B40-5A33-45F6-B1C3-1F5F6C29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3363</Words>
  <Characters>20180</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23497</CharactersWithSpaces>
  <SharedDoc>false</SharedDoc>
  <HLinks>
    <vt:vector size="36" baseType="variant">
      <vt:variant>
        <vt:i4>1638400</vt:i4>
      </vt:variant>
      <vt:variant>
        <vt:i4>6</vt:i4>
      </vt:variant>
      <vt:variant>
        <vt:i4>0</vt:i4>
      </vt:variant>
      <vt:variant>
        <vt:i4>5</vt:i4>
      </vt:variant>
      <vt:variant>
        <vt:lpwstr>https://sip.legalis.pl/document-view.seam?documentId=mfrxilrtg4ytsmzygq2deltqmfyc4nrzg4ydamjuga&amp;refSource=hyp</vt:lpwstr>
      </vt:variant>
      <vt:variant>
        <vt:lpwstr/>
      </vt:variant>
      <vt:variant>
        <vt:i4>1900637</vt:i4>
      </vt:variant>
      <vt:variant>
        <vt:i4>3</vt:i4>
      </vt:variant>
      <vt:variant>
        <vt:i4>0</vt:i4>
      </vt:variant>
      <vt:variant>
        <vt:i4>5</vt:i4>
      </vt:variant>
      <vt:variant>
        <vt:lpwstr>https://sip.legalis.pl/document-view.seam?documentId=mfrxilrtg4ytsmrzga3dqltqmfyc4nrzgqydgnzyhe&amp;refSource=hyp</vt:lpwstr>
      </vt:variant>
      <vt:variant>
        <vt:lpwstr/>
      </vt:variant>
      <vt:variant>
        <vt:i4>65621</vt:i4>
      </vt:variant>
      <vt:variant>
        <vt:i4>0</vt:i4>
      </vt:variant>
      <vt:variant>
        <vt:i4>0</vt:i4>
      </vt:variant>
      <vt:variant>
        <vt:i4>5</vt:i4>
      </vt:variant>
      <vt:variant>
        <vt:lpwstr>https://sip.legalis.pl/document-view.seam?documentId=mfrxilrtg4ytsmrygqytoltqmfyc4nrzgm3tenzzha&amp;refSource=hyp</vt:lpwstr>
      </vt:variant>
      <vt:variant>
        <vt:lpwstr/>
      </vt:variant>
      <vt:variant>
        <vt:i4>1703938</vt:i4>
      </vt:variant>
      <vt:variant>
        <vt:i4>6</vt:i4>
      </vt:variant>
      <vt:variant>
        <vt:i4>0</vt:i4>
      </vt:variant>
      <vt:variant>
        <vt:i4>5</vt:i4>
      </vt:variant>
      <vt:variant>
        <vt:lpwstr>https://sip.legalis.pl/document-view.seam?documentId=mfrxilrtg4ytonjyg44dmltqmfyc4nrtgyztknbqgq&amp;refSource=hyp</vt:lpwstr>
      </vt:variant>
      <vt:variant>
        <vt:lpwstr/>
      </vt:variant>
      <vt:variant>
        <vt:i4>4718670</vt:i4>
      </vt:variant>
      <vt:variant>
        <vt:i4>3</vt:i4>
      </vt:variant>
      <vt:variant>
        <vt:i4>0</vt:i4>
      </vt:variant>
      <vt:variant>
        <vt:i4>5</vt:i4>
      </vt:variant>
      <vt:variant>
        <vt:lpwstr>https://sip.legalis.pl/document-view.seam?documentId=mfrxilrtg4ytomrwgq4tiltqmfyc4nrsgq4tsmzqgi&amp;refSource=hyp</vt:lpwstr>
      </vt:variant>
      <vt:variant>
        <vt:lpwstr/>
      </vt:variant>
      <vt:variant>
        <vt:i4>5636105</vt:i4>
      </vt:variant>
      <vt:variant>
        <vt:i4>0</vt:i4>
      </vt:variant>
      <vt:variant>
        <vt:i4>0</vt:i4>
      </vt:variant>
      <vt:variant>
        <vt:i4>5</vt:i4>
      </vt:variant>
      <vt:variant>
        <vt:lpwstr>https://sip.legalis.pl/document-view.seam?documentId=mfrxilrtg4ytknbxgi2tsltqmfyc4njvg42tcnbqgy&amp;refSource=hyp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Kalińska</dc:creator>
  <cp:keywords/>
  <dc:description/>
  <cp:lastModifiedBy>Sandra Kalińska</cp:lastModifiedBy>
  <cp:revision>25</cp:revision>
  <cp:lastPrinted>2025-11-26T17:17:00Z</cp:lastPrinted>
  <dcterms:created xsi:type="dcterms:W3CDTF">2025-11-26T13:11:00Z</dcterms:created>
  <dcterms:modified xsi:type="dcterms:W3CDTF">2025-11-28T10:55:00Z</dcterms:modified>
</cp:coreProperties>
</file>